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881" w:rsidRDefault="008E1881" w:rsidP="008E1881">
      <w:pPr>
        <w:pStyle w:val="ccEnclosure"/>
        <w:spacing w:after="0"/>
        <w:ind w:left="0" w:firstLine="0"/>
        <w:rPr>
          <w:sz w:val="20"/>
          <w:szCs w:val="20"/>
        </w:rPr>
      </w:pPr>
      <w:bookmarkStart w:id="0" w:name="_GoBack"/>
      <w:bookmarkEnd w:id="0"/>
    </w:p>
    <w:p w:rsidR="00A41E58" w:rsidRPr="006267C1" w:rsidRDefault="00B644AB" w:rsidP="00A41E58">
      <w:pPr>
        <w:spacing w:after="0" w:line="240" w:lineRule="auto"/>
        <w:rPr>
          <w:bCs/>
          <w:sz w:val="24"/>
          <w:szCs w:val="24"/>
        </w:rPr>
      </w:pPr>
      <w:r>
        <w:rPr>
          <w:bCs/>
          <w:sz w:val="24"/>
          <w:szCs w:val="24"/>
        </w:rPr>
        <w:t xml:space="preserve">December 12, 2012  </w:t>
      </w:r>
    </w:p>
    <w:p w:rsidR="00A41E58" w:rsidRPr="006267C1" w:rsidRDefault="00A41E58" w:rsidP="00A41E58">
      <w:pPr>
        <w:spacing w:after="0" w:line="240" w:lineRule="auto"/>
        <w:rPr>
          <w:bCs/>
          <w:sz w:val="24"/>
          <w:szCs w:val="24"/>
        </w:rPr>
      </w:pPr>
    </w:p>
    <w:p w:rsidR="00B644AB" w:rsidRDefault="00B644AB" w:rsidP="00A41E58">
      <w:pPr>
        <w:spacing w:after="0" w:line="240" w:lineRule="auto"/>
        <w:rPr>
          <w:bCs/>
          <w:sz w:val="24"/>
          <w:szCs w:val="24"/>
        </w:rPr>
      </w:pPr>
      <w:r>
        <w:rPr>
          <w:bCs/>
          <w:sz w:val="24"/>
          <w:szCs w:val="24"/>
        </w:rPr>
        <w:t>Dr. Claude Steele, Dean</w:t>
      </w:r>
    </w:p>
    <w:p w:rsidR="00B644AB" w:rsidRDefault="00B644AB" w:rsidP="00A41E58">
      <w:pPr>
        <w:spacing w:after="0" w:line="240" w:lineRule="auto"/>
        <w:rPr>
          <w:bCs/>
          <w:sz w:val="24"/>
          <w:szCs w:val="24"/>
        </w:rPr>
      </w:pPr>
      <w:r>
        <w:rPr>
          <w:bCs/>
          <w:sz w:val="24"/>
          <w:szCs w:val="24"/>
        </w:rPr>
        <w:t>School of Education</w:t>
      </w:r>
    </w:p>
    <w:p w:rsidR="00B644AB" w:rsidRDefault="00B644AB" w:rsidP="00A41E58">
      <w:pPr>
        <w:spacing w:after="0" w:line="240" w:lineRule="auto"/>
        <w:rPr>
          <w:bCs/>
          <w:sz w:val="24"/>
          <w:szCs w:val="24"/>
        </w:rPr>
      </w:pPr>
      <w:r>
        <w:rPr>
          <w:bCs/>
          <w:sz w:val="24"/>
          <w:szCs w:val="24"/>
        </w:rPr>
        <w:t>Stanford University</w:t>
      </w:r>
    </w:p>
    <w:p w:rsidR="00B644AB" w:rsidRDefault="00B644AB" w:rsidP="00A41E58">
      <w:pPr>
        <w:spacing w:after="0" w:line="240" w:lineRule="auto"/>
        <w:rPr>
          <w:bCs/>
          <w:sz w:val="24"/>
          <w:szCs w:val="24"/>
        </w:rPr>
      </w:pPr>
      <w:r>
        <w:rPr>
          <w:bCs/>
          <w:sz w:val="24"/>
          <w:szCs w:val="24"/>
        </w:rPr>
        <w:t>520 Galvez Mall, CERAS Bldg., Suite 309</w:t>
      </w:r>
    </w:p>
    <w:p w:rsidR="00A41E58" w:rsidRPr="006267C1" w:rsidRDefault="00B644AB" w:rsidP="00A41E58">
      <w:pPr>
        <w:spacing w:after="0" w:line="240" w:lineRule="auto"/>
        <w:rPr>
          <w:bCs/>
          <w:sz w:val="24"/>
          <w:szCs w:val="24"/>
        </w:rPr>
      </w:pPr>
      <w:r>
        <w:rPr>
          <w:bCs/>
          <w:sz w:val="24"/>
          <w:szCs w:val="24"/>
        </w:rPr>
        <w:t xml:space="preserve">Stanford, CA 94305-3084  </w:t>
      </w:r>
    </w:p>
    <w:p w:rsidR="00A41E58" w:rsidRPr="006267C1" w:rsidRDefault="00A41E58" w:rsidP="00A41E58">
      <w:pPr>
        <w:spacing w:after="0" w:line="240" w:lineRule="auto"/>
        <w:rPr>
          <w:bCs/>
          <w:sz w:val="24"/>
          <w:szCs w:val="24"/>
        </w:rPr>
      </w:pPr>
    </w:p>
    <w:p w:rsidR="00A41E58" w:rsidRPr="006267C1" w:rsidRDefault="00A41E58" w:rsidP="00A41E58">
      <w:pPr>
        <w:spacing w:after="0" w:line="240" w:lineRule="auto"/>
        <w:rPr>
          <w:bCs/>
          <w:sz w:val="24"/>
          <w:szCs w:val="24"/>
        </w:rPr>
      </w:pPr>
      <w:r w:rsidRPr="006267C1">
        <w:rPr>
          <w:bCs/>
          <w:sz w:val="24"/>
          <w:szCs w:val="24"/>
        </w:rPr>
        <w:t xml:space="preserve">Dear </w:t>
      </w:r>
      <w:r w:rsidR="00B644AB">
        <w:rPr>
          <w:bCs/>
          <w:sz w:val="24"/>
          <w:szCs w:val="24"/>
        </w:rPr>
        <w:t xml:space="preserve">Dr. Steele:   </w:t>
      </w:r>
    </w:p>
    <w:p w:rsidR="00A41E58" w:rsidRPr="006267C1" w:rsidRDefault="00A41E58" w:rsidP="00A41E58">
      <w:pPr>
        <w:spacing w:after="0" w:line="240" w:lineRule="auto"/>
        <w:rPr>
          <w:sz w:val="24"/>
          <w:szCs w:val="24"/>
        </w:rPr>
      </w:pPr>
    </w:p>
    <w:p w:rsidR="00A41E58" w:rsidRPr="006267C1" w:rsidRDefault="00A41E58" w:rsidP="00A41E58">
      <w:pPr>
        <w:spacing w:after="0" w:line="240" w:lineRule="auto"/>
        <w:jc w:val="both"/>
        <w:rPr>
          <w:sz w:val="24"/>
          <w:szCs w:val="24"/>
        </w:rPr>
      </w:pPr>
      <w:r w:rsidRPr="006267C1">
        <w:rPr>
          <w:sz w:val="24"/>
          <w:szCs w:val="24"/>
        </w:rPr>
        <w:t>Thank you for your timely submission of your institution’s biennial report.  The Commission staff has had an opportunity to review your submission and provide</w:t>
      </w:r>
      <w:r>
        <w:rPr>
          <w:sz w:val="24"/>
          <w:szCs w:val="24"/>
        </w:rPr>
        <w:t>s</w:t>
      </w:r>
      <w:r w:rsidRPr="006267C1">
        <w:rPr>
          <w:sz w:val="24"/>
          <w:szCs w:val="24"/>
        </w:rPr>
        <w:t xml:space="preserve"> feedback to you at this time in the accreditation process.  </w:t>
      </w:r>
    </w:p>
    <w:p w:rsidR="00A41E58" w:rsidRPr="006267C1" w:rsidRDefault="00A41E58" w:rsidP="00A41E58">
      <w:pPr>
        <w:spacing w:after="0" w:line="240" w:lineRule="auto"/>
        <w:jc w:val="both"/>
        <w:rPr>
          <w:sz w:val="24"/>
          <w:szCs w:val="24"/>
        </w:rPr>
      </w:pPr>
    </w:p>
    <w:p w:rsidR="00A41E58" w:rsidRPr="006267C1" w:rsidRDefault="00A41E58" w:rsidP="00A41E58">
      <w:pPr>
        <w:spacing w:after="0" w:line="240" w:lineRule="auto"/>
        <w:jc w:val="both"/>
        <w:rPr>
          <w:sz w:val="24"/>
          <w:szCs w:val="24"/>
        </w:rPr>
      </w:pPr>
      <w:r w:rsidRPr="006267C1">
        <w:rPr>
          <w:sz w:val="24"/>
          <w:szCs w:val="24"/>
        </w:rPr>
        <w:t xml:space="preserve">As you know, each institution is responsible for submitting aggregated candidate assessment and program effectiveness data for all approved credential or certificate programs offered by the institution.  This data must be submitted for </w:t>
      </w:r>
      <w:r w:rsidRPr="006267C1">
        <w:rPr>
          <w:i/>
          <w:sz w:val="24"/>
          <w:szCs w:val="24"/>
        </w:rPr>
        <w:t>each</w:t>
      </w:r>
      <w:r w:rsidRPr="006267C1">
        <w:rPr>
          <w:sz w:val="24"/>
          <w:szCs w:val="24"/>
        </w:rPr>
        <w:t xml:space="preserve"> program approved by the CTC, include an analysis of that data, and identify program improvements or modifications that would be instituted to address areas of concern identified by the analysis of that data.  </w:t>
      </w:r>
    </w:p>
    <w:p w:rsidR="00A41E58" w:rsidRPr="006267C1" w:rsidRDefault="00A41E58" w:rsidP="00A41E58">
      <w:pPr>
        <w:spacing w:after="0" w:line="240" w:lineRule="auto"/>
        <w:jc w:val="both"/>
        <w:rPr>
          <w:sz w:val="24"/>
          <w:szCs w:val="24"/>
        </w:rPr>
      </w:pPr>
    </w:p>
    <w:p w:rsidR="00A41E58" w:rsidRPr="006267C1" w:rsidRDefault="00A41E58" w:rsidP="00A41E58">
      <w:pPr>
        <w:spacing w:after="0" w:line="240" w:lineRule="auto"/>
        <w:jc w:val="both"/>
        <w:rPr>
          <w:sz w:val="24"/>
          <w:szCs w:val="24"/>
        </w:rPr>
      </w:pPr>
      <w:r w:rsidRPr="006267C1">
        <w:rPr>
          <w:sz w:val="24"/>
          <w:szCs w:val="24"/>
        </w:rPr>
        <w:t xml:space="preserve">Biennial reports are now a critical component of the accreditation system.  Over the past few years, the Commission has learned much about what makes for a robust, effective biennial report.  With each year that the biennial report requirement has been implemented, the Commission has seen improvement in the quality of the reports submitted.  However, still more work is needed to ensure greater consistency in the quality of reports and in ensuring that the data that institutions are collecting provides useful and meaningful information that, when used by program personnel, ultimately results in better prepared educators.  Work will continue this year with the Committee on Accreditation to achieve these objectives. All institutions will be informed of any changes in expectations or report formats when these decisions have been made. In addition, a summary of the information from the Biennial Reports will be shared with the Committee on Accreditation.  If staff has serious concerns about any of the information provided in biennial reports, staff may raise these issues with the institution and with the Committee on Accreditation.  </w:t>
      </w:r>
    </w:p>
    <w:p w:rsidR="00A41E58" w:rsidRPr="006267C1" w:rsidRDefault="00A41E58" w:rsidP="00A41E58">
      <w:pPr>
        <w:spacing w:after="0" w:line="240" w:lineRule="auto"/>
        <w:jc w:val="both"/>
        <w:rPr>
          <w:sz w:val="24"/>
          <w:szCs w:val="24"/>
        </w:rPr>
      </w:pPr>
    </w:p>
    <w:p w:rsidR="00A41E58" w:rsidRPr="006267C1" w:rsidRDefault="00A41E58" w:rsidP="00A41E58">
      <w:pPr>
        <w:spacing w:after="0" w:line="240" w:lineRule="auto"/>
        <w:jc w:val="both"/>
        <w:rPr>
          <w:sz w:val="24"/>
          <w:szCs w:val="24"/>
        </w:rPr>
      </w:pPr>
      <w:r w:rsidRPr="006267C1">
        <w:rPr>
          <w:sz w:val="24"/>
          <w:szCs w:val="24"/>
        </w:rPr>
        <w:t>The Commission staff reviews each report submitted and provides feedback for your consideration.  In reviewing the reports, staff is looking primarily for a few key components.  Does the institution provide aggregated candidate data on 4-6 key assessments for each credential area?  Does the institution disaggregate the data based on delivery model to ensure that key differences can be identified?  Does the institution demonstrate that it uses assessments that are clearly based upon or linked to competencies identified in the CTC adopted standards?  Does the institution analyze the data?  Does the program use the data to make programmatic decisions?  Did the program consider the feedback provided by CTC staff for its previous biennial report submissions, if applicable, in developing this biennial report?</w:t>
      </w:r>
    </w:p>
    <w:p w:rsidR="00A41E58" w:rsidRPr="006267C1" w:rsidRDefault="00A41E58" w:rsidP="00A41E58">
      <w:pPr>
        <w:spacing w:after="0" w:line="240" w:lineRule="auto"/>
        <w:jc w:val="both"/>
        <w:rPr>
          <w:sz w:val="24"/>
          <w:szCs w:val="24"/>
        </w:rPr>
      </w:pPr>
    </w:p>
    <w:p w:rsidR="00A41E58" w:rsidRPr="006267C1" w:rsidRDefault="00A41E58" w:rsidP="00A41E58">
      <w:pPr>
        <w:spacing w:after="0" w:line="240" w:lineRule="auto"/>
        <w:jc w:val="both"/>
        <w:rPr>
          <w:sz w:val="24"/>
          <w:szCs w:val="24"/>
        </w:rPr>
      </w:pPr>
      <w:r w:rsidRPr="006267C1">
        <w:rPr>
          <w:sz w:val="24"/>
          <w:szCs w:val="24"/>
        </w:rPr>
        <w:t xml:space="preserve">Using these broad questions and others, the Commission staff provides comments for the program to consider.  Please note that none of the staff review comments are to be taken as an indication of whether standards are met or not met.  The information provided by your institution in the biennial </w:t>
      </w:r>
      <w:r w:rsidRPr="006267C1">
        <w:rPr>
          <w:sz w:val="24"/>
          <w:szCs w:val="24"/>
        </w:rPr>
        <w:lastRenderedPageBreak/>
        <w:t xml:space="preserve">reports will be maintained by the Commission. The biennial reports and the CTC feedback are provided to the reviewers of the next regularly scheduled accreditation activity for your institution.  For those about to begin the program assessment process, the documents are provided to the program assessment reviewers for additional information about how your programs are meeting standards.  For those institutions with upcoming site visits, the biennial reports and CTC feedback are provided to site visit teams as additional information to consider in making decisions on standards.  </w:t>
      </w:r>
    </w:p>
    <w:p w:rsidR="00A41E58" w:rsidRPr="006267C1" w:rsidRDefault="00A41E58" w:rsidP="00A41E58">
      <w:pPr>
        <w:spacing w:after="0" w:line="240" w:lineRule="auto"/>
        <w:jc w:val="both"/>
        <w:rPr>
          <w:sz w:val="24"/>
          <w:szCs w:val="24"/>
        </w:rPr>
      </w:pPr>
    </w:p>
    <w:p w:rsidR="00A41E58" w:rsidRPr="006267C1" w:rsidRDefault="00A41E58" w:rsidP="00A41E58">
      <w:pPr>
        <w:spacing w:after="0" w:line="240" w:lineRule="auto"/>
        <w:jc w:val="both"/>
        <w:rPr>
          <w:sz w:val="24"/>
          <w:szCs w:val="24"/>
        </w:rPr>
      </w:pPr>
      <w:r w:rsidRPr="006267C1">
        <w:rPr>
          <w:sz w:val="24"/>
          <w:szCs w:val="24"/>
        </w:rPr>
        <w:t xml:space="preserve">The Commission would like to thank you for your efforts in preparing this report.  If you have any questions about this report, or any aspect of the Biennial Report process, please feel free to contact Cheryl Hickey at </w:t>
      </w:r>
      <w:hyperlink r:id="rId9" w:history="1">
        <w:r w:rsidRPr="006267C1">
          <w:rPr>
            <w:rStyle w:val="Hyperlink"/>
            <w:sz w:val="24"/>
            <w:szCs w:val="24"/>
          </w:rPr>
          <w:t>chickey@ctc.ca.gov</w:t>
        </w:r>
      </w:hyperlink>
      <w:r w:rsidRPr="006267C1">
        <w:rPr>
          <w:sz w:val="24"/>
          <w:szCs w:val="24"/>
        </w:rPr>
        <w:t xml:space="preserve">.  </w:t>
      </w:r>
    </w:p>
    <w:p w:rsidR="00A41E58" w:rsidRPr="006267C1" w:rsidRDefault="00A41E58" w:rsidP="00A41E58">
      <w:pPr>
        <w:spacing w:after="0" w:line="240" w:lineRule="auto"/>
        <w:rPr>
          <w:sz w:val="24"/>
          <w:szCs w:val="24"/>
        </w:rPr>
      </w:pPr>
    </w:p>
    <w:p w:rsidR="00A41E58" w:rsidRPr="006267C1" w:rsidRDefault="00A41E58" w:rsidP="00A41E58">
      <w:pPr>
        <w:spacing w:after="0" w:line="240" w:lineRule="auto"/>
        <w:rPr>
          <w:sz w:val="24"/>
          <w:szCs w:val="24"/>
        </w:rPr>
      </w:pPr>
      <w:r w:rsidRPr="006267C1">
        <w:rPr>
          <w:sz w:val="24"/>
          <w:szCs w:val="24"/>
        </w:rPr>
        <w:t>Sincerely,</w:t>
      </w:r>
    </w:p>
    <w:p w:rsidR="00A41E58" w:rsidRPr="006267C1" w:rsidRDefault="00A41E58" w:rsidP="00A41E58">
      <w:pPr>
        <w:spacing w:after="0" w:line="240" w:lineRule="auto"/>
        <w:rPr>
          <w:sz w:val="24"/>
          <w:szCs w:val="24"/>
        </w:rPr>
      </w:pPr>
    </w:p>
    <w:p w:rsidR="00A41E58" w:rsidRPr="006267C1" w:rsidRDefault="00A41E58" w:rsidP="00A41E58">
      <w:pPr>
        <w:spacing w:after="0" w:line="240" w:lineRule="auto"/>
        <w:rPr>
          <w:sz w:val="24"/>
          <w:szCs w:val="24"/>
        </w:rPr>
      </w:pPr>
      <w:r w:rsidRPr="006267C1">
        <w:rPr>
          <w:noProof/>
          <w:sz w:val="24"/>
          <w:szCs w:val="24"/>
        </w:rPr>
        <w:drawing>
          <wp:inline distT="0" distB="0" distL="0" distR="0" wp14:anchorId="7888C2BB" wp14:editId="31A36D7B">
            <wp:extent cx="1657350" cy="6096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6419" t="28928" r="54752" b="59430"/>
                    <a:stretch>
                      <a:fillRect/>
                    </a:stretch>
                  </pic:blipFill>
                  <pic:spPr bwMode="auto">
                    <a:xfrm>
                      <a:off x="0" y="0"/>
                      <a:ext cx="1657350" cy="609600"/>
                    </a:xfrm>
                    <a:prstGeom prst="rect">
                      <a:avLst/>
                    </a:prstGeom>
                    <a:noFill/>
                    <a:ln w="9525">
                      <a:noFill/>
                      <a:miter lim="800000"/>
                      <a:headEnd/>
                      <a:tailEnd/>
                    </a:ln>
                  </pic:spPr>
                </pic:pic>
              </a:graphicData>
            </a:graphic>
          </wp:inline>
        </w:drawing>
      </w:r>
    </w:p>
    <w:p w:rsidR="00A41E58" w:rsidRPr="006267C1" w:rsidRDefault="00A41E58" w:rsidP="00A41E58">
      <w:pPr>
        <w:pStyle w:val="ccEnclosure"/>
        <w:spacing w:after="0"/>
      </w:pPr>
      <w:r w:rsidRPr="006267C1">
        <w:t>Cheryl Hickey</w:t>
      </w:r>
    </w:p>
    <w:p w:rsidR="00A41E58" w:rsidRPr="006267C1" w:rsidRDefault="00A41E58" w:rsidP="00A41E58">
      <w:pPr>
        <w:pStyle w:val="ccEnclosure"/>
        <w:spacing w:after="0"/>
      </w:pPr>
      <w:r w:rsidRPr="006267C1">
        <w:t>Administrator of Accreditation</w:t>
      </w:r>
    </w:p>
    <w:p w:rsidR="00A41E58" w:rsidRPr="006267C1" w:rsidRDefault="00A41E58" w:rsidP="00A41E58">
      <w:pPr>
        <w:pStyle w:val="ccEnclosure"/>
        <w:spacing w:after="0"/>
      </w:pPr>
      <w:r w:rsidRPr="006267C1">
        <w:t>Professional Services Division</w:t>
      </w:r>
    </w:p>
    <w:p w:rsidR="00A41E58" w:rsidRPr="008E1881" w:rsidRDefault="00A41E58" w:rsidP="008E1881">
      <w:pPr>
        <w:pStyle w:val="ccEnclosure"/>
        <w:spacing w:after="0"/>
        <w:ind w:left="0" w:firstLine="0"/>
        <w:rPr>
          <w:sz w:val="20"/>
          <w:szCs w:val="20"/>
        </w:rPr>
        <w:sectPr w:rsidR="00A41E58" w:rsidRPr="008E1881" w:rsidSect="00A213DE">
          <w:footerReference w:type="default" r:id="rId11"/>
          <w:headerReference w:type="first" r:id="rId12"/>
          <w:footerReference w:type="first" r:id="rId13"/>
          <w:type w:val="nextColumn"/>
          <w:pgSz w:w="12240" w:h="15840" w:code="1"/>
          <w:pgMar w:top="1710" w:right="990" w:bottom="1080" w:left="1350" w:header="720" w:footer="256" w:gutter="0"/>
          <w:cols w:space="720"/>
          <w:titlePg/>
          <w:docGrid w:linePitch="212"/>
        </w:sectPr>
      </w:pPr>
    </w:p>
    <w:p w:rsidR="00B644AB" w:rsidRPr="009B2354" w:rsidRDefault="00B644AB" w:rsidP="00B644AB">
      <w:pPr>
        <w:jc w:val="center"/>
        <w:rPr>
          <w:b/>
        </w:rPr>
      </w:pPr>
      <w:r w:rsidRPr="009B2354">
        <w:rPr>
          <w:b/>
        </w:rPr>
        <w:lastRenderedPageBreak/>
        <w:t>Stanford University</w:t>
      </w:r>
    </w:p>
    <w:p w:rsidR="00B644AB" w:rsidRDefault="00B644AB" w:rsidP="00B644AB">
      <w:pPr>
        <w:jc w:val="center"/>
        <w:rPr>
          <w:b/>
        </w:rPr>
      </w:pPr>
      <w:r>
        <w:rPr>
          <w:b/>
        </w:rPr>
        <w:t>Biennial Report Response, For Report Submitted in Fall 2012</w:t>
      </w:r>
    </w:p>
    <w:p w:rsidR="00B644AB" w:rsidRDefault="00B644AB" w:rsidP="00B644AB">
      <w:pPr>
        <w:jc w:val="center"/>
        <w:rPr>
          <w:b/>
        </w:rPr>
      </w:pPr>
    </w:p>
    <w:p w:rsidR="00B644AB" w:rsidRDefault="00B644AB" w:rsidP="00B644AB">
      <w:pPr>
        <w:jc w:val="center"/>
        <w:rPr>
          <w:b/>
        </w:r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8"/>
        <w:gridCol w:w="2160"/>
        <w:gridCol w:w="2700"/>
        <w:gridCol w:w="630"/>
        <w:gridCol w:w="6840"/>
      </w:tblGrid>
      <w:tr w:rsidR="00B644AB" w:rsidRPr="003D5731" w:rsidTr="00DB5755">
        <w:trPr>
          <w:tblHeader/>
        </w:trPr>
        <w:tc>
          <w:tcPr>
            <w:tcW w:w="1278" w:type="dxa"/>
            <w:tcBorders>
              <w:top w:val="single" w:sz="4" w:space="0" w:color="auto"/>
              <w:left w:val="single" w:sz="4" w:space="0" w:color="auto"/>
              <w:bottom w:val="single" w:sz="4" w:space="0" w:color="auto"/>
              <w:right w:val="single" w:sz="4" w:space="0" w:color="auto"/>
            </w:tcBorders>
          </w:tcPr>
          <w:p w:rsidR="00B644AB" w:rsidRPr="003D5731" w:rsidRDefault="00B644AB" w:rsidP="00DB5755">
            <w:pPr>
              <w:spacing w:before="40" w:after="20"/>
              <w:jc w:val="center"/>
              <w:rPr>
                <w:b/>
              </w:rPr>
            </w:pPr>
            <w:r>
              <w:rPr>
                <w:b/>
              </w:rPr>
              <w:t>Program(s)</w:t>
            </w:r>
            <w:r w:rsidRPr="003D5731">
              <w:rPr>
                <w:b/>
              </w:rPr>
              <w:t xml:space="preserve"> </w:t>
            </w:r>
          </w:p>
        </w:tc>
        <w:tc>
          <w:tcPr>
            <w:tcW w:w="2160" w:type="dxa"/>
            <w:tcBorders>
              <w:top w:val="single" w:sz="4" w:space="0" w:color="auto"/>
              <w:left w:val="single" w:sz="4" w:space="0" w:color="auto"/>
              <w:bottom w:val="single" w:sz="4" w:space="0" w:color="auto"/>
              <w:right w:val="single" w:sz="4" w:space="0" w:color="auto"/>
            </w:tcBorders>
          </w:tcPr>
          <w:p w:rsidR="00B644AB" w:rsidRPr="003D5731" w:rsidRDefault="00B644AB" w:rsidP="00DB5755">
            <w:pPr>
              <w:spacing w:before="40" w:after="20"/>
              <w:jc w:val="center"/>
              <w:rPr>
                <w:b/>
              </w:rPr>
            </w:pPr>
            <w:r w:rsidRPr="003D5731">
              <w:rPr>
                <w:b/>
              </w:rPr>
              <w:t>Candidate/Program</w:t>
            </w:r>
          </w:p>
          <w:p w:rsidR="00B644AB" w:rsidRPr="003D5731" w:rsidRDefault="00B644AB" w:rsidP="00DB5755">
            <w:pPr>
              <w:spacing w:before="40" w:after="20"/>
              <w:jc w:val="center"/>
            </w:pPr>
            <w:r w:rsidRPr="003D5731">
              <w:rPr>
                <w:b/>
              </w:rPr>
              <w:t>Data Submitted</w:t>
            </w:r>
          </w:p>
        </w:tc>
        <w:tc>
          <w:tcPr>
            <w:tcW w:w="3330" w:type="dxa"/>
            <w:gridSpan w:val="2"/>
            <w:tcBorders>
              <w:top w:val="single" w:sz="4" w:space="0" w:color="auto"/>
              <w:left w:val="single" w:sz="4" w:space="0" w:color="auto"/>
              <w:bottom w:val="single" w:sz="4" w:space="0" w:color="auto"/>
              <w:right w:val="single" w:sz="4" w:space="0" w:color="auto"/>
            </w:tcBorders>
          </w:tcPr>
          <w:p w:rsidR="00B644AB" w:rsidRDefault="00B644AB" w:rsidP="00DB5755">
            <w:pPr>
              <w:spacing w:before="40" w:after="20"/>
              <w:jc w:val="center"/>
              <w:rPr>
                <w:b/>
              </w:rPr>
            </w:pPr>
            <w:r w:rsidRPr="003D5731">
              <w:rPr>
                <w:b/>
              </w:rPr>
              <w:t xml:space="preserve">Components </w:t>
            </w:r>
            <w:r>
              <w:rPr>
                <w:b/>
              </w:rPr>
              <w:t xml:space="preserve"> </w:t>
            </w:r>
          </w:p>
          <w:p w:rsidR="00B644AB" w:rsidRDefault="00B644AB" w:rsidP="00DB5755">
            <w:pPr>
              <w:spacing w:before="40" w:after="20"/>
              <w:jc w:val="center"/>
              <w:rPr>
                <w:sz w:val="16"/>
                <w:szCs w:val="16"/>
              </w:rPr>
            </w:pPr>
            <w:r w:rsidRPr="00AE1E92">
              <w:t xml:space="preserve">√ </w:t>
            </w:r>
            <w:r>
              <w:rPr>
                <w:sz w:val="16"/>
                <w:szCs w:val="16"/>
              </w:rPr>
              <w:t xml:space="preserve">Evident/Meets Requirement </w:t>
            </w:r>
          </w:p>
          <w:p w:rsidR="00B644AB" w:rsidRDefault="00B644AB" w:rsidP="00DB5755">
            <w:pPr>
              <w:spacing w:before="40" w:after="20"/>
              <w:jc w:val="center"/>
              <w:rPr>
                <w:sz w:val="16"/>
                <w:szCs w:val="16"/>
              </w:rPr>
            </w:pPr>
            <w:r w:rsidRPr="00AE1E92">
              <w:t>√ /-</w:t>
            </w:r>
            <w:r>
              <w:rPr>
                <w:sz w:val="16"/>
                <w:szCs w:val="16"/>
              </w:rPr>
              <w:t xml:space="preserve">  Present, but Insufficient </w:t>
            </w:r>
          </w:p>
          <w:p w:rsidR="00B644AB" w:rsidRPr="004D4C5E" w:rsidRDefault="00B644AB" w:rsidP="00DB5755">
            <w:pPr>
              <w:spacing w:before="40" w:after="20"/>
              <w:jc w:val="center"/>
              <w:rPr>
                <w:sz w:val="16"/>
                <w:szCs w:val="16"/>
              </w:rPr>
            </w:pPr>
            <w:r>
              <w:t xml:space="preserve">       </w:t>
            </w:r>
            <w:r w:rsidRPr="00AE1E92">
              <w:t>0</w:t>
            </w:r>
            <w:r>
              <w:rPr>
                <w:sz w:val="16"/>
                <w:szCs w:val="16"/>
              </w:rPr>
              <w:t xml:space="preserve"> Missing/Not Evident</w:t>
            </w:r>
          </w:p>
        </w:tc>
        <w:tc>
          <w:tcPr>
            <w:tcW w:w="6840" w:type="dxa"/>
            <w:tcBorders>
              <w:top w:val="single" w:sz="4" w:space="0" w:color="auto"/>
              <w:left w:val="single" w:sz="4" w:space="0" w:color="auto"/>
              <w:bottom w:val="single" w:sz="4" w:space="0" w:color="auto"/>
              <w:right w:val="single" w:sz="4" w:space="0" w:color="auto"/>
            </w:tcBorders>
          </w:tcPr>
          <w:p w:rsidR="00B644AB" w:rsidRPr="004D4C5E" w:rsidRDefault="00B644AB" w:rsidP="00DB5755">
            <w:pPr>
              <w:spacing w:before="120" w:after="20"/>
              <w:jc w:val="center"/>
              <w:rPr>
                <w:b/>
              </w:rPr>
            </w:pPr>
            <w:r w:rsidRPr="003D5731">
              <w:rPr>
                <w:b/>
              </w:rPr>
              <w:t>Comments/Additional Information Required</w:t>
            </w:r>
          </w:p>
        </w:tc>
      </w:tr>
      <w:tr w:rsidR="00B644AB" w:rsidRPr="003D5731" w:rsidTr="00DB5755">
        <w:trPr>
          <w:trHeight w:val="240"/>
        </w:trPr>
        <w:tc>
          <w:tcPr>
            <w:tcW w:w="1278" w:type="dxa"/>
            <w:vMerge w:val="restart"/>
            <w:tcBorders>
              <w:top w:val="single" w:sz="4" w:space="0" w:color="auto"/>
              <w:left w:val="single" w:sz="4" w:space="0" w:color="auto"/>
              <w:right w:val="single" w:sz="4" w:space="0" w:color="auto"/>
            </w:tcBorders>
          </w:tcPr>
          <w:p w:rsidR="00B644AB" w:rsidRDefault="00B644AB" w:rsidP="00DB5755">
            <w:pPr>
              <w:rPr>
                <w:rFonts w:ascii="Arial" w:hAnsi="Arial" w:cs="Arial"/>
                <w:sz w:val="18"/>
                <w:szCs w:val="18"/>
              </w:rPr>
            </w:pPr>
          </w:p>
          <w:p w:rsidR="00B644AB" w:rsidRDefault="00B644AB" w:rsidP="00DB5755">
            <w:pPr>
              <w:rPr>
                <w:rFonts w:ascii="Arial" w:hAnsi="Arial" w:cs="Arial"/>
                <w:sz w:val="18"/>
                <w:szCs w:val="18"/>
              </w:rPr>
            </w:pPr>
            <w:r>
              <w:rPr>
                <w:rFonts w:ascii="Arial" w:hAnsi="Arial" w:cs="Arial"/>
                <w:sz w:val="18"/>
                <w:szCs w:val="18"/>
              </w:rPr>
              <w:t>Preliminary Multiple and Single Subjects Credential</w:t>
            </w:r>
          </w:p>
          <w:p w:rsidR="00B644AB" w:rsidRPr="004D4C5E" w:rsidRDefault="00B644AB" w:rsidP="00DB5755">
            <w:pPr>
              <w:rPr>
                <w:rFonts w:ascii="Arial" w:hAnsi="Arial" w:cs="Arial"/>
                <w:sz w:val="18"/>
                <w:szCs w:val="18"/>
              </w:rPr>
            </w:pPr>
          </w:p>
        </w:tc>
        <w:tc>
          <w:tcPr>
            <w:tcW w:w="2160" w:type="dxa"/>
            <w:vMerge w:val="restart"/>
            <w:tcBorders>
              <w:top w:val="single" w:sz="4" w:space="0" w:color="auto"/>
              <w:left w:val="single" w:sz="4" w:space="0" w:color="auto"/>
              <w:right w:val="single" w:sz="4" w:space="0" w:color="auto"/>
            </w:tcBorders>
          </w:tcPr>
          <w:p w:rsidR="00B644AB" w:rsidRPr="00AB4D45" w:rsidRDefault="00B644AB" w:rsidP="00DB5755">
            <w:pPr>
              <w:spacing w:before="40"/>
              <w:rPr>
                <w:sz w:val="18"/>
                <w:szCs w:val="18"/>
                <w:u w:val="single"/>
              </w:rPr>
            </w:pPr>
            <w:r w:rsidRPr="00AB4D45">
              <w:rPr>
                <w:sz w:val="18"/>
                <w:szCs w:val="18"/>
                <w:u w:val="single"/>
              </w:rPr>
              <w:t>Data Presented</w:t>
            </w:r>
          </w:p>
          <w:p w:rsidR="00B644AB" w:rsidRDefault="00B644AB" w:rsidP="00DB5755">
            <w:pPr>
              <w:spacing w:before="40"/>
            </w:pPr>
            <w:r w:rsidRPr="00AB4D45">
              <w:t xml:space="preserve">1) candidate scores on PACT Teaching Event for STEP Secondary and STEP Elementary; 2) evaluations of the summer school experiences, </w:t>
            </w:r>
          </w:p>
          <w:p w:rsidR="00B644AB" w:rsidRPr="00AB4D45" w:rsidRDefault="00B644AB" w:rsidP="00DB5755">
            <w:pPr>
              <w:spacing w:before="40"/>
            </w:pPr>
            <w:r w:rsidRPr="00AB4D45">
              <w:t>3) exit surveys of graduating candidates</w:t>
            </w:r>
          </w:p>
          <w:p w:rsidR="00B644AB" w:rsidRPr="00AB4D45" w:rsidRDefault="00B644AB" w:rsidP="00DB5755">
            <w:pPr>
              <w:spacing w:before="40"/>
            </w:pPr>
            <w:r w:rsidRPr="00AB4D45">
              <w:t>4) survey of STEP alumni</w:t>
            </w:r>
          </w:p>
          <w:p w:rsidR="00B644AB" w:rsidRDefault="00B644AB" w:rsidP="00DB5755">
            <w:pPr>
              <w:spacing w:before="40"/>
              <w:rPr>
                <w:sz w:val="18"/>
                <w:szCs w:val="18"/>
                <w:u w:val="single"/>
              </w:rPr>
            </w:pPr>
          </w:p>
          <w:p w:rsidR="00B644AB" w:rsidRDefault="00B644AB" w:rsidP="00DB5755">
            <w:pPr>
              <w:spacing w:before="40"/>
              <w:rPr>
                <w:sz w:val="18"/>
                <w:szCs w:val="18"/>
                <w:u w:val="single"/>
              </w:rPr>
            </w:pPr>
            <w:r>
              <w:rPr>
                <w:sz w:val="18"/>
                <w:szCs w:val="18"/>
                <w:u w:val="single"/>
              </w:rPr>
              <w:t>Additional d</w:t>
            </w:r>
            <w:r w:rsidRPr="00AB4D45">
              <w:rPr>
                <w:sz w:val="18"/>
                <w:szCs w:val="18"/>
                <w:u w:val="single"/>
              </w:rPr>
              <w:t>ata discussed but not presented</w:t>
            </w:r>
          </w:p>
          <w:p w:rsidR="00B644AB" w:rsidRDefault="00B644AB" w:rsidP="00DB5755">
            <w:pPr>
              <w:spacing w:before="40"/>
              <w:rPr>
                <w:sz w:val="18"/>
                <w:szCs w:val="18"/>
              </w:rPr>
            </w:pPr>
            <w:r>
              <w:rPr>
                <w:sz w:val="18"/>
                <w:szCs w:val="18"/>
              </w:rPr>
              <w:t>-Quarterly Assessments</w:t>
            </w:r>
          </w:p>
          <w:p w:rsidR="00B644AB" w:rsidRDefault="00B644AB" w:rsidP="00DB5755">
            <w:pPr>
              <w:spacing w:before="40"/>
              <w:rPr>
                <w:sz w:val="18"/>
                <w:szCs w:val="18"/>
              </w:rPr>
            </w:pPr>
            <w:r>
              <w:rPr>
                <w:sz w:val="18"/>
                <w:szCs w:val="18"/>
              </w:rPr>
              <w:t>-Academic Transcripts</w:t>
            </w:r>
          </w:p>
          <w:p w:rsidR="00B644AB" w:rsidRDefault="00B644AB" w:rsidP="00DB5755">
            <w:pPr>
              <w:spacing w:before="40"/>
              <w:rPr>
                <w:sz w:val="18"/>
                <w:szCs w:val="18"/>
              </w:rPr>
            </w:pPr>
            <w:r>
              <w:rPr>
                <w:sz w:val="18"/>
                <w:szCs w:val="18"/>
              </w:rPr>
              <w:t>-STEP Exhibitions</w:t>
            </w:r>
          </w:p>
          <w:p w:rsidR="00B644AB" w:rsidRPr="00AB4D45" w:rsidRDefault="00B644AB" w:rsidP="00DB5755">
            <w:pPr>
              <w:spacing w:before="40"/>
              <w:rPr>
                <w:sz w:val="18"/>
                <w:szCs w:val="18"/>
              </w:rPr>
            </w:pPr>
            <w:r>
              <w:rPr>
                <w:sz w:val="18"/>
                <w:szCs w:val="18"/>
              </w:rPr>
              <w:lastRenderedPageBreak/>
              <w:t>-Course Evaluations</w:t>
            </w:r>
          </w:p>
          <w:p w:rsidR="00B644AB" w:rsidRPr="00AB4D45" w:rsidRDefault="00B644AB" w:rsidP="00DB5755">
            <w:pPr>
              <w:spacing w:before="40"/>
              <w:ind w:left="183"/>
              <w:rPr>
                <w:sz w:val="18"/>
                <w:szCs w:val="18"/>
              </w:rPr>
            </w:pPr>
          </w:p>
        </w:tc>
        <w:tc>
          <w:tcPr>
            <w:tcW w:w="2700" w:type="dxa"/>
            <w:tcBorders>
              <w:top w:val="single" w:sz="4" w:space="0" w:color="auto"/>
              <w:left w:val="single" w:sz="4" w:space="0" w:color="auto"/>
              <w:bottom w:val="single" w:sz="4" w:space="0" w:color="auto"/>
              <w:right w:val="single" w:sz="4" w:space="0" w:color="auto"/>
            </w:tcBorders>
          </w:tcPr>
          <w:p w:rsidR="00B644AB" w:rsidRPr="003D5731" w:rsidRDefault="00B644AB" w:rsidP="00DB5755">
            <w:pPr>
              <w:spacing w:before="20" w:after="20"/>
              <w:jc w:val="right"/>
            </w:pPr>
            <w:r w:rsidRPr="003D5731">
              <w:lastRenderedPageBreak/>
              <w:t>Context</w:t>
            </w:r>
          </w:p>
        </w:tc>
        <w:tc>
          <w:tcPr>
            <w:tcW w:w="630" w:type="dxa"/>
            <w:tcBorders>
              <w:top w:val="single" w:sz="4" w:space="0" w:color="auto"/>
              <w:left w:val="single" w:sz="4" w:space="0" w:color="auto"/>
              <w:right w:val="single" w:sz="4" w:space="0" w:color="auto"/>
            </w:tcBorders>
          </w:tcPr>
          <w:p w:rsidR="00B644AB" w:rsidRPr="003D5731" w:rsidRDefault="00B644AB" w:rsidP="00DB5755">
            <w:pPr>
              <w:spacing w:before="20" w:after="20"/>
            </w:pPr>
            <w:r w:rsidRPr="00AE1E92">
              <w:t>√</w:t>
            </w:r>
          </w:p>
        </w:tc>
        <w:tc>
          <w:tcPr>
            <w:tcW w:w="6840" w:type="dxa"/>
            <w:vMerge w:val="restart"/>
            <w:tcBorders>
              <w:top w:val="single" w:sz="4" w:space="0" w:color="auto"/>
              <w:left w:val="single" w:sz="4" w:space="0" w:color="auto"/>
              <w:right w:val="single" w:sz="4" w:space="0" w:color="auto"/>
            </w:tcBorders>
          </w:tcPr>
          <w:p w:rsidR="00B644AB" w:rsidRDefault="00B644AB" w:rsidP="00DB5755"/>
          <w:p w:rsidR="00B644AB" w:rsidRDefault="00B644AB" w:rsidP="00DB5755">
            <w:r w:rsidRPr="005A5992">
              <w:t xml:space="preserve">Data, analysis, and program modifications were </w:t>
            </w:r>
            <w:r>
              <w:t>provided</w:t>
            </w:r>
            <w:r w:rsidRPr="00EB523B">
              <w:t>,</w:t>
            </w:r>
            <w:r w:rsidRPr="005A5992">
              <w:t xml:space="preserve"> </w:t>
            </w:r>
            <w:r w:rsidRPr="00EB523B">
              <w:t>clearly presented</w:t>
            </w:r>
            <w:r w:rsidRPr="005A5992">
              <w:t>, and well linked.  Data and analysis supported program modifications.</w:t>
            </w:r>
            <w:r w:rsidRPr="000C5A53">
              <w:t xml:space="preserve">  </w:t>
            </w:r>
          </w:p>
          <w:p w:rsidR="00B644AB" w:rsidRDefault="00B644AB" w:rsidP="00DB5755"/>
          <w:p w:rsidR="00B644AB" w:rsidRPr="003D5731" w:rsidRDefault="00B644AB" w:rsidP="00DB5755">
            <w:r>
              <w:t>PACT scores were presented.  Although not required, it would be helpful to reviewers to include a brief discussion of the rubric</w:t>
            </w:r>
          </w:p>
        </w:tc>
      </w:tr>
      <w:tr w:rsidR="00B644AB" w:rsidRPr="003D5731" w:rsidTr="00DB5755">
        <w:trPr>
          <w:trHeight w:val="240"/>
        </w:trPr>
        <w:tc>
          <w:tcPr>
            <w:tcW w:w="1278" w:type="dxa"/>
            <w:vMerge/>
            <w:tcBorders>
              <w:left w:val="single" w:sz="4" w:space="0" w:color="auto"/>
              <w:right w:val="single" w:sz="4" w:space="0" w:color="auto"/>
            </w:tcBorders>
          </w:tcPr>
          <w:p w:rsidR="00B644AB" w:rsidRPr="003D5731" w:rsidRDefault="00B644AB" w:rsidP="00DB5755">
            <w:pPr>
              <w:rPr>
                <w:sz w:val="22"/>
                <w:szCs w:val="22"/>
              </w:rPr>
            </w:pPr>
          </w:p>
        </w:tc>
        <w:tc>
          <w:tcPr>
            <w:tcW w:w="2160" w:type="dxa"/>
            <w:vMerge/>
            <w:tcBorders>
              <w:left w:val="single" w:sz="4" w:space="0" w:color="auto"/>
              <w:right w:val="single" w:sz="4" w:space="0" w:color="auto"/>
            </w:tcBorders>
          </w:tcPr>
          <w:p w:rsidR="00B644AB" w:rsidRPr="003D5731" w:rsidRDefault="00B644AB" w:rsidP="00DB5755">
            <w:pPr>
              <w:spacing w:before="40"/>
              <w:rPr>
                <w:sz w:val="18"/>
                <w:szCs w:val="18"/>
                <w:u w:val="single"/>
              </w:rPr>
            </w:pPr>
          </w:p>
        </w:tc>
        <w:tc>
          <w:tcPr>
            <w:tcW w:w="2700" w:type="dxa"/>
            <w:tcBorders>
              <w:top w:val="single" w:sz="4" w:space="0" w:color="auto"/>
              <w:left w:val="single" w:sz="4" w:space="0" w:color="auto"/>
              <w:bottom w:val="single" w:sz="4" w:space="0" w:color="auto"/>
              <w:right w:val="single" w:sz="4" w:space="0" w:color="auto"/>
            </w:tcBorders>
          </w:tcPr>
          <w:p w:rsidR="00B644AB" w:rsidRPr="00590361" w:rsidRDefault="00B644AB" w:rsidP="00DB5755">
            <w:pPr>
              <w:spacing w:before="20" w:after="20"/>
              <w:jc w:val="right"/>
            </w:pPr>
            <w:r w:rsidRPr="00590361">
              <w:t>Changes since last BR/SV</w:t>
            </w:r>
          </w:p>
        </w:tc>
        <w:tc>
          <w:tcPr>
            <w:tcW w:w="630" w:type="dxa"/>
            <w:tcBorders>
              <w:left w:val="single" w:sz="4" w:space="0" w:color="auto"/>
              <w:right w:val="single" w:sz="4" w:space="0" w:color="auto"/>
            </w:tcBorders>
          </w:tcPr>
          <w:p w:rsidR="00B644AB" w:rsidRPr="00590361" w:rsidRDefault="00B644AB" w:rsidP="00DB5755">
            <w:pPr>
              <w:spacing w:before="20" w:after="20"/>
            </w:pPr>
            <w:r w:rsidRPr="00AE1E92">
              <w:t>√</w:t>
            </w:r>
          </w:p>
        </w:tc>
        <w:tc>
          <w:tcPr>
            <w:tcW w:w="6840" w:type="dxa"/>
            <w:vMerge/>
            <w:tcBorders>
              <w:left w:val="single" w:sz="4" w:space="0" w:color="auto"/>
              <w:right w:val="single" w:sz="4" w:space="0" w:color="auto"/>
            </w:tcBorders>
          </w:tcPr>
          <w:p w:rsidR="00B644AB" w:rsidRPr="003D5731" w:rsidRDefault="00B644AB" w:rsidP="00DB5755"/>
        </w:tc>
      </w:tr>
      <w:tr w:rsidR="00B644AB" w:rsidRPr="003D5731" w:rsidTr="00DB5755">
        <w:trPr>
          <w:trHeight w:val="240"/>
        </w:trPr>
        <w:tc>
          <w:tcPr>
            <w:tcW w:w="1278" w:type="dxa"/>
            <w:vMerge/>
            <w:tcBorders>
              <w:left w:val="single" w:sz="4" w:space="0" w:color="auto"/>
              <w:right w:val="single" w:sz="4" w:space="0" w:color="auto"/>
            </w:tcBorders>
          </w:tcPr>
          <w:p w:rsidR="00B644AB" w:rsidRPr="003D5731" w:rsidRDefault="00B644AB" w:rsidP="00DB5755">
            <w:pPr>
              <w:rPr>
                <w:sz w:val="22"/>
                <w:szCs w:val="22"/>
              </w:rPr>
            </w:pPr>
          </w:p>
        </w:tc>
        <w:tc>
          <w:tcPr>
            <w:tcW w:w="2160" w:type="dxa"/>
            <w:vMerge/>
            <w:tcBorders>
              <w:left w:val="single" w:sz="4" w:space="0" w:color="auto"/>
              <w:right w:val="single" w:sz="4" w:space="0" w:color="auto"/>
            </w:tcBorders>
          </w:tcPr>
          <w:p w:rsidR="00B644AB" w:rsidRPr="003D5731" w:rsidRDefault="00B644AB" w:rsidP="00DB5755">
            <w:pPr>
              <w:spacing w:before="40"/>
              <w:rPr>
                <w:sz w:val="18"/>
                <w:szCs w:val="18"/>
                <w:u w:val="single"/>
              </w:rPr>
            </w:pPr>
          </w:p>
        </w:tc>
        <w:tc>
          <w:tcPr>
            <w:tcW w:w="2700" w:type="dxa"/>
            <w:tcBorders>
              <w:top w:val="single" w:sz="4" w:space="0" w:color="auto"/>
              <w:left w:val="single" w:sz="4" w:space="0" w:color="auto"/>
              <w:bottom w:val="single" w:sz="4" w:space="0" w:color="auto"/>
              <w:right w:val="single" w:sz="4" w:space="0" w:color="auto"/>
            </w:tcBorders>
          </w:tcPr>
          <w:p w:rsidR="00B644AB" w:rsidRPr="003D5731" w:rsidRDefault="00B644AB" w:rsidP="00DB5755">
            <w:pPr>
              <w:spacing w:before="20" w:after="20"/>
              <w:jc w:val="right"/>
            </w:pPr>
            <w:r w:rsidRPr="003D5731">
              <w:t xml:space="preserve">Assessments tied to </w:t>
            </w:r>
            <w:r>
              <w:t>Competences</w:t>
            </w:r>
          </w:p>
        </w:tc>
        <w:tc>
          <w:tcPr>
            <w:tcW w:w="630" w:type="dxa"/>
            <w:tcBorders>
              <w:left w:val="single" w:sz="4" w:space="0" w:color="auto"/>
              <w:right w:val="single" w:sz="4" w:space="0" w:color="auto"/>
            </w:tcBorders>
          </w:tcPr>
          <w:p w:rsidR="00B644AB" w:rsidRPr="003D5731" w:rsidRDefault="00B644AB" w:rsidP="00DB5755">
            <w:pPr>
              <w:spacing w:before="20" w:after="20"/>
            </w:pPr>
            <w:r w:rsidRPr="00AE1E92">
              <w:t>√</w:t>
            </w:r>
          </w:p>
        </w:tc>
        <w:tc>
          <w:tcPr>
            <w:tcW w:w="6840" w:type="dxa"/>
            <w:vMerge/>
            <w:tcBorders>
              <w:left w:val="single" w:sz="4" w:space="0" w:color="auto"/>
              <w:right w:val="single" w:sz="4" w:space="0" w:color="auto"/>
            </w:tcBorders>
          </w:tcPr>
          <w:p w:rsidR="00B644AB" w:rsidRPr="003D5731" w:rsidRDefault="00B644AB" w:rsidP="00DB5755"/>
        </w:tc>
      </w:tr>
      <w:tr w:rsidR="00B644AB" w:rsidRPr="003D5731" w:rsidTr="00DB5755">
        <w:trPr>
          <w:trHeight w:val="240"/>
        </w:trPr>
        <w:tc>
          <w:tcPr>
            <w:tcW w:w="1278" w:type="dxa"/>
            <w:vMerge/>
            <w:tcBorders>
              <w:left w:val="single" w:sz="4" w:space="0" w:color="auto"/>
              <w:right w:val="single" w:sz="4" w:space="0" w:color="auto"/>
            </w:tcBorders>
          </w:tcPr>
          <w:p w:rsidR="00B644AB" w:rsidRPr="003D5731" w:rsidRDefault="00B644AB" w:rsidP="00DB5755">
            <w:pPr>
              <w:rPr>
                <w:sz w:val="22"/>
                <w:szCs w:val="22"/>
              </w:rPr>
            </w:pPr>
          </w:p>
        </w:tc>
        <w:tc>
          <w:tcPr>
            <w:tcW w:w="2160" w:type="dxa"/>
            <w:vMerge/>
            <w:tcBorders>
              <w:left w:val="single" w:sz="4" w:space="0" w:color="auto"/>
              <w:right w:val="single" w:sz="4" w:space="0" w:color="auto"/>
            </w:tcBorders>
          </w:tcPr>
          <w:p w:rsidR="00B644AB" w:rsidRPr="003D5731" w:rsidRDefault="00B644AB" w:rsidP="00DB5755">
            <w:pPr>
              <w:spacing w:before="40"/>
              <w:rPr>
                <w:sz w:val="18"/>
                <w:szCs w:val="18"/>
                <w:u w:val="single"/>
              </w:rPr>
            </w:pPr>
          </w:p>
        </w:tc>
        <w:tc>
          <w:tcPr>
            <w:tcW w:w="2700" w:type="dxa"/>
            <w:tcBorders>
              <w:top w:val="single" w:sz="4" w:space="0" w:color="auto"/>
              <w:left w:val="single" w:sz="4" w:space="0" w:color="auto"/>
              <w:bottom w:val="single" w:sz="4" w:space="0" w:color="auto"/>
              <w:right w:val="single" w:sz="4" w:space="0" w:color="auto"/>
            </w:tcBorders>
          </w:tcPr>
          <w:p w:rsidR="00B644AB" w:rsidRPr="003D5731" w:rsidRDefault="00B644AB" w:rsidP="00DB5755">
            <w:pPr>
              <w:spacing w:before="20" w:after="20"/>
              <w:jc w:val="right"/>
            </w:pPr>
            <w:r w:rsidRPr="003D5731">
              <w:t>Aggregated Data</w:t>
            </w:r>
          </w:p>
        </w:tc>
        <w:tc>
          <w:tcPr>
            <w:tcW w:w="630" w:type="dxa"/>
            <w:tcBorders>
              <w:left w:val="single" w:sz="4" w:space="0" w:color="auto"/>
              <w:right w:val="single" w:sz="4" w:space="0" w:color="auto"/>
            </w:tcBorders>
          </w:tcPr>
          <w:p w:rsidR="00B644AB" w:rsidRPr="003D5731" w:rsidRDefault="00B644AB" w:rsidP="00DB5755">
            <w:pPr>
              <w:spacing w:before="20" w:after="20"/>
            </w:pPr>
            <w:r w:rsidRPr="00AE1E92">
              <w:t>√</w:t>
            </w:r>
          </w:p>
        </w:tc>
        <w:tc>
          <w:tcPr>
            <w:tcW w:w="6840" w:type="dxa"/>
            <w:vMerge/>
            <w:tcBorders>
              <w:left w:val="single" w:sz="4" w:space="0" w:color="auto"/>
              <w:right w:val="single" w:sz="4" w:space="0" w:color="auto"/>
            </w:tcBorders>
          </w:tcPr>
          <w:p w:rsidR="00B644AB" w:rsidRPr="003D5731" w:rsidRDefault="00B644AB" w:rsidP="00DB5755"/>
        </w:tc>
      </w:tr>
      <w:tr w:rsidR="00B644AB" w:rsidRPr="003D5731" w:rsidTr="00DB5755">
        <w:trPr>
          <w:trHeight w:val="240"/>
        </w:trPr>
        <w:tc>
          <w:tcPr>
            <w:tcW w:w="1278" w:type="dxa"/>
            <w:vMerge/>
            <w:tcBorders>
              <w:left w:val="single" w:sz="4" w:space="0" w:color="auto"/>
              <w:right w:val="single" w:sz="4" w:space="0" w:color="auto"/>
            </w:tcBorders>
          </w:tcPr>
          <w:p w:rsidR="00B644AB" w:rsidRPr="003D5731" w:rsidRDefault="00B644AB" w:rsidP="00DB5755">
            <w:pPr>
              <w:rPr>
                <w:sz w:val="22"/>
                <w:szCs w:val="22"/>
              </w:rPr>
            </w:pPr>
          </w:p>
        </w:tc>
        <w:tc>
          <w:tcPr>
            <w:tcW w:w="2160" w:type="dxa"/>
            <w:vMerge/>
            <w:tcBorders>
              <w:left w:val="single" w:sz="4" w:space="0" w:color="auto"/>
              <w:right w:val="single" w:sz="4" w:space="0" w:color="auto"/>
            </w:tcBorders>
          </w:tcPr>
          <w:p w:rsidR="00B644AB" w:rsidRPr="003D5731" w:rsidRDefault="00B644AB" w:rsidP="00DB5755">
            <w:pPr>
              <w:spacing w:before="40"/>
              <w:rPr>
                <w:sz w:val="18"/>
                <w:szCs w:val="18"/>
                <w:u w:val="single"/>
              </w:rPr>
            </w:pPr>
          </w:p>
        </w:tc>
        <w:tc>
          <w:tcPr>
            <w:tcW w:w="2700" w:type="dxa"/>
            <w:tcBorders>
              <w:top w:val="single" w:sz="4" w:space="0" w:color="auto"/>
              <w:left w:val="single" w:sz="4" w:space="0" w:color="auto"/>
              <w:bottom w:val="single" w:sz="4" w:space="0" w:color="auto"/>
              <w:right w:val="single" w:sz="4" w:space="0" w:color="auto"/>
            </w:tcBorders>
          </w:tcPr>
          <w:p w:rsidR="00B644AB" w:rsidRPr="003D5731" w:rsidRDefault="00B644AB" w:rsidP="00DB5755">
            <w:pPr>
              <w:spacing w:before="20" w:after="20"/>
              <w:jc w:val="right"/>
            </w:pPr>
            <w:r w:rsidRPr="003D5731">
              <w:t>Analyze</w:t>
            </w:r>
            <w:r>
              <w:t>d/Discussed</w:t>
            </w:r>
            <w:r w:rsidRPr="003D5731">
              <w:t xml:space="preserve"> Data</w:t>
            </w:r>
          </w:p>
        </w:tc>
        <w:tc>
          <w:tcPr>
            <w:tcW w:w="630" w:type="dxa"/>
            <w:tcBorders>
              <w:left w:val="single" w:sz="4" w:space="0" w:color="auto"/>
              <w:right w:val="single" w:sz="4" w:space="0" w:color="auto"/>
            </w:tcBorders>
          </w:tcPr>
          <w:p w:rsidR="00B644AB" w:rsidRPr="003D5731" w:rsidRDefault="00B644AB" w:rsidP="00DB5755">
            <w:pPr>
              <w:spacing w:before="20" w:after="20"/>
            </w:pPr>
            <w:r w:rsidRPr="00AE1E92">
              <w:t>√</w:t>
            </w:r>
          </w:p>
        </w:tc>
        <w:tc>
          <w:tcPr>
            <w:tcW w:w="6840" w:type="dxa"/>
            <w:vMerge/>
            <w:tcBorders>
              <w:left w:val="single" w:sz="4" w:space="0" w:color="auto"/>
              <w:right w:val="single" w:sz="4" w:space="0" w:color="auto"/>
            </w:tcBorders>
          </w:tcPr>
          <w:p w:rsidR="00B644AB" w:rsidRPr="003D5731" w:rsidRDefault="00B644AB" w:rsidP="00DB5755"/>
        </w:tc>
      </w:tr>
      <w:tr w:rsidR="00B644AB" w:rsidRPr="003D5731" w:rsidTr="00DB5755">
        <w:trPr>
          <w:trHeight w:val="240"/>
        </w:trPr>
        <w:tc>
          <w:tcPr>
            <w:tcW w:w="1278" w:type="dxa"/>
            <w:vMerge/>
            <w:tcBorders>
              <w:left w:val="single" w:sz="4" w:space="0" w:color="auto"/>
              <w:right w:val="single" w:sz="4" w:space="0" w:color="auto"/>
            </w:tcBorders>
          </w:tcPr>
          <w:p w:rsidR="00B644AB" w:rsidRPr="003D5731" w:rsidRDefault="00B644AB" w:rsidP="00DB5755">
            <w:pPr>
              <w:rPr>
                <w:sz w:val="22"/>
                <w:szCs w:val="22"/>
              </w:rPr>
            </w:pPr>
          </w:p>
        </w:tc>
        <w:tc>
          <w:tcPr>
            <w:tcW w:w="2160" w:type="dxa"/>
            <w:vMerge/>
            <w:tcBorders>
              <w:left w:val="single" w:sz="4" w:space="0" w:color="auto"/>
              <w:right w:val="single" w:sz="4" w:space="0" w:color="auto"/>
            </w:tcBorders>
          </w:tcPr>
          <w:p w:rsidR="00B644AB" w:rsidRPr="003D5731" w:rsidRDefault="00B644AB" w:rsidP="00DB5755">
            <w:pPr>
              <w:spacing w:before="40"/>
              <w:rPr>
                <w:sz w:val="18"/>
                <w:szCs w:val="18"/>
                <w:u w:val="single"/>
              </w:rPr>
            </w:pPr>
          </w:p>
        </w:tc>
        <w:tc>
          <w:tcPr>
            <w:tcW w:w="2700" w:type="dxa"/>
            <w:tcBorders>
              <w:top w:val="single" w:sz="4" w:space="0" w:color="auto"/>
              <w:left w:val="single" w:sz="4" w:space="0" w:color="auto"/>
              <w:bottom w:val="single" w:sz="4" w:space="0" w:color="auto"/>
              <w:right w:val="single" w:sz="4" w:space="0" w:color="auto"/>
            </w:tcBorders>
          </w:tcPr>
          <w:p w:rsidR="00B644AB" w:rsidRPr="003D5731" w:rsidRDefault="00B644AB" w:rsidP="00DB5755">
            <w:pPr>
              <w:spacing w:before="20" w:after="20"/>
              <w:jc w:val="right"/>
            </w:pPr>
            <w:r w:rsidRPr="003D5731">
              <w:t>Modifications</w:t>
            </w:r>
            <w:r>
              <w:t xml:space="preserve"> linked to Data</w:t>
            </w:r>
          </w:p>
        </w:tc>
        <w:tc>
          <w:tcPr>
            <w:tcW w:w="630" w:type="dxa"/>
            <w:tcBorders>
              <w:left w:val="single" w:sz="4" w:space="0" w:color="auto"/>
              <w:bottom w:val="single" w:sz="4" w:space="0" w:color="auto"/>
              <w:right w:val="single" w:sz="4" w:space="0" w:color="auto"/>
            </w:tcBorders>
          </w:tcPr>
          <w:p w:rsidR="00B644AB" w:rsidRPr="003D5731" w:rsidRDefault="00B644AB" w:rsidP="00DB5755">
            <w:pPr>
              <w:spacing w:before="20" w:after="20"/>
            </w:pPr>
            <w:r w:rsidRPr="00AE1E92">
              <w:t>√</w:t>
            </w:r>
          </w:p>
        </w:tc>
        <w:tc>
          <w:tcPr>
            <w:tcW w:w="6840" w:type="dxa"/>
            <w:vMerge/>
            <w:tcBorders>
              <w:left w:val="single" w:sz="4" w:space="0" w:color="auto"/>
              <w:right w:val="single" w:sz="4" w:space="0" w:color="auto"/>
            </w:tcBorders>
          </w:tcPr>
          <w:p w:rsidR="00B644AB" w:rsidRPr="003D5731" w:rsidRDefault="00B644AB" w:rsidP="00DB5755"/>
        </w:tc>
      </w:tr>
      <w:tr w:rsidR="00B644AB" w:rsidRPr="003D5731" w:rsidTr="00DB5755">
        <w:trPr>
          <w:trHeight w:val="467"/>
        </w:trPr>
        <w:tc>
          <w:tcPr>
            <w:tcW w:w="1278" w:type="dxa"/>
            <w:vMerge/>
            <w:tcBorders>
              <w:left w:val="single" w:sz="4" w:space="0" w:color="auto"/>
              <w:right w:val="single" w:sz="4" w:space="0" w:color="auto"/>
            </w:tcBorders>
          </w:tcPr>
          <w:p w:rsidR="00B644AB" w:rsidRPr="003D5731" w:rsidRDefault="00B644AB" w:rsidP="00DB5755">
            <w:pPr>
              <w:rPr>
                <w:sz w:val="22"/>
                <w:szCs w:val="22"/>
              </w:rPr>
            </w:pPr>
          </w:p>
        </w:tc>
        <w:tc>
          <w:tcPr>
            <w:tcW w:w="2160" w:type="dxa"/>
            <w:vMerge/>
            <w:tcBorders>
              <w:left w:val="single" w:sz="4" w:space="0" w:color="auto"/>
              <w:right w:val="single" w:sz="4" w:space="0" w:color="auto"/>
            </w:tcBorders>
          </w:tcPr>
          <w:p w:rsidR="00B644AB" w:rsidRPr="003D5731" w:rsidRDefault="00B644AB" w:rsidP="00DB5755">
            <w:pPr>
              <w:spacing w:before="40"/>
              <w:rPr>
                <w:sz w:val="18"/>
                <w:szCs w:val="18"/>
                <w:u w:val="single"/>
              </w:rPr>
            </w:pPr>
          </w:p>
        </w:tc>
        <w:tc>
          <w:tcPr>
            <w:tcW w:w="2700" w:type="dxa"/>
            <w:tcBorders>
              <w:top w:val="single" w:sz="4" w:space="0" w:color="auto"/>
              <w:left w:val="single" w:sz="4" w:space="0" w:color="auto"/>
              <w:right w:val="single" w:sz="4" w:space="0" w:color="auto"/>
            </w:tcBorders>
          </w:tcPr>
          <w:p w:rsidR="00B644AB" w:rsidRPr="003D5731" w:rsidRDefault="00B644AB" w:rsidP="00DB5755">
            <w:pPr>
              <w:spacing w:before="20" w:after="20"/>
              <w:jc w:val="right"/>
            </w:pPr>
            <w:r>
              <w:t xml:space="preserve">Modifications explicitly identified by Commission standards </w:t>
            </w:r>
          </w:p>
        </w:tc>
        <w:tc>
          <w:tcPr>
            <w:tcW w:w="630" w:type="dxa"/>
            <w:tcBorders>
              <w:top w:val="single" w:sz="4" w:space="0" w:color="auto"/>
              <w:left w:val="single" w:sz="4" w:space="0" w:color="auto"/>
              <w:right w:val="single" w:sz="4" w:space="0" w:color="auto"/>
            </w:tcBorders>
          </w:tcPr>
          <w:p w:rsidR="00B644AB" w:rsidRPr="003D5731" w:rsidRDefault="00B644AB" w:rsidP="00DB5755">
            <w:pPr>
              <w:spacing w:before="20" w:after="20"/>
            </w:pPr>
            <w:r w:rsidRPr="00AE1E92">
              <w:t>√</w:t>
            </w:r>
          </w:p>
        </w:tc>
        <w:tc>
          <w:tcPr>
            <w:tcW w:w="6840" w:type="dxa"/>
            <w:vMerge/>
            <w:tcBorders>
              <w:left w:val="single" w:sz="4" w:space="0" w:color="auto"/>
              <w:right w:val="single" w:sz="4" w:space="0" w:color="auto"/>
            </w:tcBorders>
          </w:tcPr>
          <w:p w:rsidR="00B644AB" w:rsidRPr="003D5731" w:rsidRDefault="00B644AB" w:rsidP="00DB5755"/>
        </w:tc>
      </w:tr>
      <w:tr w:rsidR="00B644AB" w:rsidRPr="003D5731" w:rsidTr="00DB5755">
        <w:trPr>
          <w:trHeight w:val="467"/>
        </w:trPr>
        <w:tc>
          <w:tcPr>
            <w:tcW w:w="1278" w:type="dxa"/>
            <w:tcBorders>
              <w:left w:val="single" w:sz="4" w:space="0" w:color="auto"/>
              <w:right w:val="single" w:sz="4" w:space="0" w:color="auto"/>
            </w:tcBorders>
          </w:tcPr>
          <w:p w:rsidR="00B644AB" w:rsidRPr="003D5731" w:rsidRDefault="00B644AB" w:rsidP="00DB5755">
            <w:pPr>
              <w:rPr>
                <w:sz w:val="22"/>
                <w:szCs w:val="22"/>
              </w:rPr>
            </w:pPr>
            <w:r>
              <w:rPr>
                <w:sz w:val="22"/>
                <w:szCs w:val="22"/>
              </w:rPr>
              <w:lastRenderedPageBreak/>
              <w:t>CTEL</w:t>
            </w:r>
          </w:p>
        </w:tc>
        <w:tc>
          <w:tcPr>
            <w:tcW w:w="2160" w:type="dxa"/>
            <w:tcBorders>
              <w:left w:val="single" w:sz="4" w:space="0" w:color="auto"/>
              <w:right w:val="single" w:sz="4" w:space="0" w:color="auto"/>
            </w:tcBorders>
          </w:tcPr>
          <w:p w:rsidR="00B644AB" w:rsidRPr="00012726" w:rsidRDefault="00B644AB" w:rsidP="00DB5755">
            <w:pPr>
              <w:spacing w:before="40"/>
              <w:rPr>
                <w:sz w:val="18"/>
                <w:szCs w:val="18"/>
              </w:rPr>
            </w:pPr>
            <w:r>
              <w:rPr>
                <w:sz w:val="18"/>
                <w:szCs w:val="18"/>
              </w:rPr>
              <w:t>No Data Presented</w:t>
            </w:r>
          </w:p>
        </w:tc>
        <w:tc>
          <w:tcPr>
            <w:tcW w:w="2700" w:type="dxa"/>
            <w:tcBorders>
              <w:top w:val="single" w:sz="4" w:space="0" w:color="auto"/>
              <w:left w:val="single" w:sz="4" w:space="0" w:color="auto"/>
              <w:right w:val="single" w:sz="4" w:space="0" w:color="auto"/>
            </w:tcBorders>
          </w:tcPr>
          <w:p w:rsidR="00B644AB" w:rsidRDefault="00B644AB" w:rsidP="00DB5755">
            <w:pPr>
              <w:spacing w:before="20" w:after="20"/>
              <w:jc w:val="right"/>
            </w:pPr>
          </w:p>
        </w:tc>
        <w:tc>
          <w:tcPr>
            <w:tcW w:w="630" w:type="dxa"/>
            <w:tcBorders>
              <w:top w:val="single" w:sz="4" w:space="0" w:color="auto"/>
              <w:left w:val="single" w:sz="4" w:space="0" w:color="auto"/>
              <w:right w:val="single" w:sz="4" w:space="0" w:color="auto"/>
            </w:tcBorders>
          </w:tcPr>
          <w:p w:rsidR="00B644AB" w:rsidRPr="00AE1E92" w:rsidRDefault="00B644AB" w:rsidP="00DB5755">
            <w:pPr>
              <w:spacing w:before="20" w:after="20"/>
            </w:pPr>
          </w:p>
        </w:tc>
        <w:tc>
          <w:tcPr>
            <w:tcW w:w="6840" w:type="dxa"/>
            <w:tcBorders>
              <w:left w:val="single" w:sz="4" w:space="0" w:color="auto"/>
              <w:right w:val="single" w:sz="4" w:space="0" w:color="auto"/>
            </w:tcBorders>
          </w:tcPr>
          <w:p w:rsidR="00B644AB" w:rsidRPr="003D5731" w:rsidRDefault="00B644AB" w:rsidP="00DB5755">
            <w:r>
              <w:t xml:space="preserve">The Commission responded to an email on 11/14./2012 from Stanford University indicated to the Commission that it plans to close the CTEL program and requested that the Commission remove the program from the list of approved programs.   In response, the Commission indicated that the Commission needs a formal request in writing, on university letterhead.  This request needs to include the date for when the last remaining candidates are expected to complete the program and the number of candidates currently in the program.  If it is still the desire to close this program, please provide that information to the Commission.  It will be provided to the Committee on Accreditation at the next regularly scheduled meeting (February 7, 2013).  If the program is to continue, a biennial report with aggregated candidate assessment and program effectiveness data will be required.  </w:t>
            </w:r>
          </w:p>
        </w:tc>
      </w:tr>
      <w:tr w:rsidR="00B644AB" w:rsidRPr="003D5731" w:rsidTr="00DB5755">
        <w:trPr>
          <w:trHeight w:val="467"/>
        </w:trPr>
        <w:tc>
          <w:tcPr>
            <w:tcW w:w="1278" w:type="dxa"/>
            <w:tcBorders>
              <w:left w:val="single" w:sz="4" w:space="0" w:color="auto"/>
              <w:right w:val="single" w:sz="4" w:space="0" w:color="auto"/>
            </w:tcBorders>
          </w:tcPr>
          <w:p w:rsidR="00B644AB" w:rsidRPr="003D5731" w:rsidRDefault="00B644AB" w:rsidP="00DB5755">
            <w:pPr>
              <w:rPr>
                <w:sz w:val="22"/>
                <w:szCs w:val="22"/>
              </w:rPr>
            </w:pPr>
            <w:r>
              <w:rPr>
                <w:sz w:val="22"/>
                <w:szCs w:val="22"/>
              </w:rPr>
              <w:t>Bilingual</w:t>
            </w:r>
          </w:p>
        </w:tc>
        <w:tc>
          <w:tcPr>
            <w:tcW w:w="2160" w:type="dxa"/>
            <w:tcBorders>
              <w:left w:val="single" w:sz="4" w:space="0" w:color="auto"/>
              <w:right w:val="single" w:sz="4" w:space="0" w:color="auto"/>
            </w:tcBorders>
          </w:tcPr>
          <w:p w:rsidR="00B644AB" w:rsidRPr="001B2BAF" w:rsidRDefault="00B644AB" w:rsidP="00DB5755">
            <w:pPr>
              <w:spacing w:before="40"/>
              <w:rPr>
                <w:sz w:val="18"/>
                <w:szCs w:val="18"/>
              </w:rPr>
            </w:pPr>
            <w:r w:rsidRPr="001B2BAF">
              <w:rPr>
                <w:sz w:val="18"/>
                <w:szCs w:val="18"/>
              </w:rPr>
              <w:t>Program is New</w:t>
            </w:r>
          </w:p>
        </w:tc>
        <w:tc>
          <w:tcPr>
            <w:tcW w:w="2700" w:type="dxa"/>
            <w:tcBorders>
              <w:top w:val="single" w:sz="4" w:space="0" w:color="auto"/>
              <w:left w:val="single" w:sz="4" w:space="0" w:color="auto"/>
              <w:right w:val="single" w:sz="4" w:space="0" w:color="auto"/>
            </w:tcBorders>
          </w:tcPr>
          <w:p w:rsidR="00B644AB" w:rsidRDefault="00B644AB" w:rsidP="00DB5755">
            <w:pPr>
              <w:spacing w:before="20" w:after="20"/>
              <w:jc w:val="right"/>
            </w:pPr>
          </w:p>
        </w:tc>
        <w:tc>
          <w:tcPr>
            <w:tcW w:w="630" w:type="dxa"/>
            <w:tcBorders>
              <w:top w:val="single" w:sz="4" w:space="0" w:color="auto"/>
              <w:left w:val="single" w:sz="4" w:space="0" w:color="auto"/>
              <w:right w:val="single" w:sz="4" w:space="0" w:color="auto"/>
            </w:tcBorders>
          </w:tcPr>
          <w:p w:rsidR="00B644AB" w:rsidRPr="00AE1E92" w:rsidRDefault="00B644AB" w:rsidP="00DB5755">
            <w:pPr>
              <w:spacing w:before="20" w:after="20"/>
            </w:pPr>
          </w:p>
        </w:tc>
        <w:tc>
          <w:tcPr>
            <w:tcW w:w="6840" w:type="dxa"/>
            <w:tcBorders>
              <w:left w:val="single" w:sz="4" w:space="0" w:color="auto"/>
              <w:right w:val="single" w:sz="4" w:space="0" w:color="auto"/>
            </w:tcBorders>
          </w:tcPr>
          <w:p w:rsidR="00B644AB" w:rsidRDefault="00B644AB" w:rsidP="00DB5755">
            <w:r>
              <w:t xml:space="preserve">This authorization is new.  The Commission looks forward to the inclusion of data regarding candidates in the bilingual authorization pathway in future reports.  </w:t>
            </w:r>
          </w:p>
          <w:p w:rsidR="00B644AB" w:rsidRPr="003D5731" w:rsidRDefault="00B644AB" w:rsidP="00DB5755"/>
        </w:tc>
      </w:tr>
      <w:tr w:rsidR="00B644AB" w:rsidRPr="003D5731" w:rsidTr="00DB5755">
        <w:tc>
          <w:tcPr>
            <w:tcW w:w="3438" w:type="dxa"/>
            <w:gridSpan w:val="2"/>
            <w:tcBorders>
              <w:top w:val="single" w:sz="4" w:space="0" w:color="auto"/>
              <w:left w:val="single" w:sz="4" w:space="0" w:color="auto"/>
              <w:bottom w:val="single" w:sz="4" w:space="0" w:color="auto"/>
              <w:right w:val="single" w:sz="4" w:space="0" w:color="auto"/>
            </w:tcBorders>
          </w:tcPr>
          <w:p w:rsidR="00B644AB" w:rsidRPr="003D5731" w:rsidRDefault="00B644AB" w:rsidP="00DB5755">
            <w:pPr>
              <w:spacing w:before="60" w:after="40"/>
              <w:ind w:left="720" w:hanging="720"/>
            </w:pPr>
            <w:r w:rsidRPr="003D5731">
              <w:rPr>
                <w:b/>
              </w:rPr>
              <w:t xml:space="preserve">Part B:  </w:t>
            </w:r>
            <w:r w:rsidRPr="004D4C5E">
              <w:rPr>
                <w:b/>
              </w:rPr>
              <w:t>Institutional Summary and Plan of Action</w:t>
            </w:r>
          </w:p>
        </w:tc>
        <w:tc>
          <w:tcPr>
            <w:tcW w:w="10170" w:type="dxa"/>
            <w:gridSpan w:val="3"/>
            <w:tcBorders>
              <w:top w:val="single" w:sz="4" w:space="0" w:color="auto"/>
              <w:left w:val="single" w:sz="4" w:space="0" w:color="auto"/>
              <w:bottom w:val="single" w:sz="4" w:space="0" w:color="auto"/>
              <w:right w:val="single" w:sz="4" w:space="0" w:color="auto"/>
            </w:tcBorders>
          </w:tcPr>
          <w:p w:rsidR="00B644AB" w:rsidRPr="003D5731" w:rsidRDefault="00B644AB" w:rsidP="00DB5755">
            <w:pPr>
              <w:spacing w:before="60" w:after="40"/>
            </w:pPr>
            <w:r w:rsidRPr="00E2225E">
              <w:t>The Institutional Summary indicate</w:t>
            </w:r>
            <w:r>
              <w:t>s</w:t>
            </w:r>
            <w:r w:rsidRPr="00E2225E">
              <w:t xml:space="preserve"> that leadership has reviewed the biennial report information submitted for </w:t>
            </w:r>
            <w:r>
              <w:t>the</w:t>
            </w:r>
            <w:r w:rsidRPr="00E2225E">
              <w:t xml:space="preserve"> </w:t>
            </w:r>
            <w:r>
              <w:t xml:space="preserve">MS/SS </w:t>
            </w:r>
            <w:r w:rsidRPr="00E2225E">
              <w:t>progra</w:t>
            </w:r>
            <w:r>
              <w:t>m</w:t>
            </w:r>
            <w:r w:rsidRPr="00E2225E">
              <w:t xml:space="preserve">.  It demonstrates a thoughtful review of </w:t>
            </w:r>
            <w:r>
              <w:t>the</w:t>
            </w:r>
            <w:r w:rsidRPr="00E2225E">
              <w:t xml:space="preserve"> program’s report</w:t>
            </w:r>
            <w:r>
              <w:t xml:space="preserve"> and </w:t>
            </w:r>
            <w:r w:rsidRPr="00E2225E">
              <w:t xml:space="preserve">identifies areas of strength and areas in need of improvements.  </w:t>
            </w:r>
          </w:p>
        </w:tc>
      </w:tr>
      <w:tr w:rsidR="00B644AB" w:rsidRPr="003D5731" w:rsidTr="00DB5755">
        <w:tc>
          <w:tcPr>
            <w:tcW w:w="13608" w:type="dxa"/>
            <w:gridSpan w:val="5"/>
            <w:tcBorders>
              <w:top w:val="single" w:sz="4" w:space="0" w:color="auto"/>
              <w:left w:val="single" w:sz="4" w:space="0" w:color="auto"/>
              <w:bottom w:val="single" w:sz="4" w:space="0" w:color="auto"/>
              <w:right w:val="single" w:sz="4" w:space="0" w:color="auto"/>
            </w:tcBorders>
          </w:tcPr>
          <w:p w:rsidR="00B644AB" w:rsidRPr="003D5731" w:rsidRDefault="00B644AB" w:rsidP="00DB5755">
            <w:pPr>
              <w:spacing w:before="60" w:after="40"/>
              <w:jc w:val="center"/>
              <w:rPr>
                <w:b/>
                <w:i/>
                <w:sz w:val="18"/>
                <w:szCs w:val="18"/>
              </w:rPr>
            </w:pPr>
            <w:r w:rsidRPr="003D5731">
              <w:rPr>
                <w:b/>
                <w:i/>
                <w:sz w:val="18"/>
                <w:szCs w:val="18"/>
              </w:rPr>
              <w:t>Submission of a Biennial Report for each approved educator preparation program is required as part of the Commission’s accreditation activities but does not, in and of itself, imply that any of the Commission’s Common or Program Standards are Met .  The decision if each standard is met or not is the responsibility of the site visit team.</w:t>
            </w:r>
          </w:p>
        </w:tc>
      </w:tr>
    </w:tbl>
    <w:p w:rsidR="00B644AB" w:rsidRDefault="00B644AB" w:rsidP="00B644AB"/>
    <w:p w:rsidR="00B644AB" w:rsidRDefault="00B644AB" w:rsidP="00B644AB"/>
    <w:p w:rsidR="003E6F76" w:rsidRPr="00B644AB" w:rsidRDefault="00B644AB" w:rsidP="00B644AB">
      <w:pPr>
        <w:rPr>
          <w:b/>
          <w:color w:val="0000FF"/>
        </w:rPr>
      </w:pPr>
      <w:r>
        <w:rPr>
          <w:b/>
          <w:color w:val="0070C0"/>
        </w:rPr>
        <w:t xml:space="preserve">          </w:t>
      </w:r>
      <w:r>
        <w:rPr>
          <w:b/>
          <w:color w:val="0000FF"/>
        </w:rPr>
        <w:tab/>
      </w:r>
      <w:r>
        <w:rPr>
          <w:b/>
          <w:color w:val="0000FF"/>
        </w:rPr>
        <w:tab/>
      </w:r>
      <w:r w:rsidRPr="007714BC">
        <w:rPr>
          <w:b/>
          <w:color w:val="0000FF"/>
        </w:rPr>
        <w:t xml:space="preserve"> </w:t>
      </w:r>
    </w:p>
    <w:sectPr w:rsidR="003E6F76" w:rsidRPr="00B644AB" w:rsidSect="00FF7B28">
      <w:headerReference w:type="even" r:id="rId14"/>
      <w:headerReference w:type="default" r:id="rId15"/>
      <w:footerReference w:type="even" r:id="rId16"/>
      <w:footerReference w:type="default" r:id="rId17"/>
      <w:headerReference w:type="first" r:id="rId18"/>
      <w:footerReference w:type="first" r:id="rId1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878" w:rsidRDefault="00EE6878">
      <w:r>
        <w:separator/>
      </w:r>
    </w:p>
  </w:endnote>
  <w:endnote w:type="continuationSeparator" w:id="0">
    <w:p w:rsidR="00EE6878" w:rsidRDefault="00EE6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5C2" w:rsidRPr="00F117AA" w:rsidRDefault="00CC75C2" w:rsidP="002050EC">
    <w:pPr>
      <w:pStyle w:val="Address"/>
    </w:pPr>
    <w:r w:rsidRPr="00F117AA">
      <w:t>Street Address</w:t>
    </w:r>
    <w:r w:rsidRPr="00C9693D">
      <w:t xml:space="preserve"> </w:t>
    </w:r>
    <w:r w:rsidRPr="00C9693D">
      <w:rPr>
        <w:color w:val="666699"/>
      </w:rPr>
      <w:sym w:font="Wingdings" w:char="F0A7"/>
    </w:r>
    <w:r w:rsidRPr="00C9693D">
      <w:t xml:space="preserve"> </w:t>
    </w:r>
    <w:r w:rsidRPr="00F117AA">
      <w:t>Address 2</w:t>
    </w:r>
    <w:r w:rsidRPr="00C9693D">
      <w:t xml:space="preserve"> </w:t>
    </w:r>
    <w:r w:rsidRPr="00C9693D">
      <w:rPr>
        <w:color w:val="666699"/>
      </w:rPr>
      <w:sym w:font="Wingdings" w:char="F0A7"/>
    </w:r>
    <w:r>
      <w:t xml:space="preserve"> </w:t>
    </w:r>
    <w:r w:rsidRPr="00F117AA">
      <w:t>Phone</w:t>
    </w:r>
    <w:r>
      <w:t>: 555.555.0125</w:t>
    </w:r>
    <w:r>
      <w:rPr>
        <w:szCs w:val="22"/>
      </w:rPr>
      <w:t xml:space="preserve"> </w:t>
    </w:r>
    <w:r w:rsidRPr="00C9693D">
      <w:rPr>
        <w:color w:val="666699"/>
      </w:rPr>
      <w:sym w:font="Wingdings" w:char="F0A7"/>
    </w:r>
    <w:r w:rsidRPr="00C9693D">
      <w:t xml:space="preserve"> </w:t>
    </w:r>
    <w:r w:rsidRPr="00F117AA">
      <w:t>E-mail address</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5C2" w:rsidRPr="00D5424A" w:rsidRDefault="00CC75C2" w:rsidP="003D2591">
    <w:pPr>
      <w:pStyle w:val="Footer"/>
      <w:jc w:val="center"/>
      <w:rPr>
        <w:sz w:val="22"/>
        <w:szCs w:val="22"/>
      </w:rPr>
    </w:pPr>
    <w:r w:rsidRPr="00D5424A">
      <w:rPr>
        <w:rStyle w:val="PageNumber"/>
        <w:i/>
        <w:sz w:val="22"/>
        <w:szCs w:val="22"/>
      </w:rPr>
      <w:t>Ensuring Educator Excellence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1D0" w:rsidRDefault="007429BB">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6B2" w:rsidRDefault="007D43B8">
    <w:pPr>
      <w:pStyle w:val="Footer"/>
      <w:rPr>
        <w:i/>
      </w:rPr>
    </w:pPr>
    <w:r>
      <w:rPr>
        <w:i/>
      </w:rPr>
      <w:t>Fall 2012</w:t>
    </w:r>
    <w:r w:rsidRPr="00C11E54">
      <w:rPr>
        <w:i/>
      </w:rPr>
      <w:t xml:space="preserve"> Biennial Report Response </w:t>
    </w:r>
  </w:p>
  <w:p w:rsidR="00A606B2" w:rsidRPr="00C11E54" w:rsidRDefault="007429BB">
    <w:pPr>
      <w:pStyle w:val="Footer"/>
      <w:rPr>
        <w:i/>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1D0" w:rsidRDefault="007429B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878" w:rsidRDefault="00EE6878">
      <w:r>
        <w:separator/>
      </w:r>
    </w:p>
  </w:footnote>
  <w:footnote w:type="continuationSeparator" w:id="0">
    <w:p w:rsidR="00EE6878" w:rsidRDefault="00EE68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5C2" w:rsidRDefault="00606350">
    <w:pPr>
      <w:pStyle w:val="Header"/>
    </w:pPr>
    <w:r>
      <w:rPr>
        <w:noProof/>
      </w:rPr>
      <mc:AlternateContent>
        <mc:Choice Requires="wps">
          <w:drawing>
            <wp:anchor distT="36576" distB="36576" distL="36576" distR="36576" simplePos="0" relativeHeight="251656704" behindDoc="0" locked="0" layoutInCell="1" allowOverlap="1" wp14:anchorId="5B371511" wp14:editId="6B301CBE">
              <wp:simplePos x="0" y="0"/>
              <wp:positionH relativeFrom="page">
                <wp:posOffset>1356360</wp:posOffset>
              </wp:positionH>
              <wp:positionV relativeFrom="page">
                <wp:posOffset>110490</wp:posOffset>
              </wp:positionV>
              <wp:extent cx="5844540" cy="1009650"/>
              <wp:effectExtent l="3810" t="0" r="0" b="381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844540" cy="1009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C75C2" w:rsidRDefault="00CC75C2" w:rsidP="00B95D8C">
                          <w:pPr>
                            <w:pStyle w:val="Heading1"/>
                            <w:spacing w:after="0"/>
                            <w:jc w:val="left"/>
                          </w:pPr>
                          <w:r>
                            <w:t xml:space="preserve">          </w:t>
                          </w:r>
                        </w:p>
                        <w:p w:rsidR="00CC75C2" w:rsidRDefault="00CC75C2" w:rsidP="00B95D8C">
                          <w:pPr>
                            <w:pStyle w:val="Heading1"/>
                            <w:spacing w:after="0"/>
                            <w:jc w:val="left"/>
                          </w:pPr>
                          <w:r>
                            <w:t>Commission on Teacher Credentialing</w:t>
                          </w:r>
                        </w:p>
                        <w:p w:rsidR="00CC75C2" w:rsidRPr="00B95D8C" w:rsidRDefault="00CC75C2" w:rsidP="00B95D8C">
                          <w:pPr>
                            <w:spacing w:after="0"/>
                          </w:pPr>
                          <w:r>
                            <w:t>1900 Capitol Avenue Sacramento, CA  95811        (916) 324-8002        Fax (916) 324-8927        www.ctc.ca.gov</w:t>
                          </w:r>
                        </w:p>
                        <w:p w:rsidR="00CC75C2" w:rsidRPr="000735B6" w:rsidRDefault="00CC75C2" w:rsidP="000735B6">
                          <w:pPr>
                            <w:spacing w:before="120"/>
                            <w:rPr>
                              <w:i/>
                              <w:sz w:val="22"/>
                              <w:szCs w:val="22"/>
                            </w:rPr>
                          </w:pPr>
                          <w:r>
                            <w:rPr>
                              <w:i/>
                              <w:sz w:val="22"/>
                              <w:szCs w:val="22"/>
                            </w:rPr>
                            <w:t>Professional Services Division</w:t>
                          </w:r>
                        </w:p>
                        <w:p w:rsidR="00CC75C2" w:rsidRPr="00B95D8C" w:rsidRDefault="00CC75C2" w:rsidP="00B95D8C">
                          <w:r>
                            <w:t xml:space="preserve">    </w:t>
                          </w:r>
                        </w:p>
                        <w:p w:rsidR="00CC75C2" w:rsidRPr="00B95D8C" w:rsidRDefault="00CC75C2" w:rsidP="00B95D8C"/>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B371511" id="_x0000_t202" coordsize="21600,21600" o:spt="202" path="m,l,21600r21600,l21600,xe">
              <v:stroke joinstyle="miter"/>
              <v:path gradientshapeok="t" o:connecttype="rect"/>
            </v:shapetype>
            <v:shape id="Text Box 1" o:spid="_x0000_s1026" type="#_x0000_t202" style="position:absolute;margin-left:106.8pt;margin-top:8.7pt;width:460.2pt;height:79.5pt;z-index:2516567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" filled="f" stroked="f" strokeweight="0" insetpen="t">
              <o:lock v:ext="edit" shapetype="t"/>
              <v:textbox inset="2.85pt,2.85pt,2.85pt,2.85pt">
                <w:txbxContent>
                  <w:p w:rsidR="00CC75C2" w:rsidRDefault="00CC75C2" w:rsidP="00B95D8C">
                    <w:pPr>
                      <w:pStyle w:val="Heading1"/>
                      <w:spacing w:after="0"/>
                      <w:jc w:val="left"/>
                    </w:pPr>
                    <w:r>
                      <w:t xml:space="preserve">          </w:t>
                    </w:r>
                  </w:p>
                  <w:p w:rsidR="00CC75C2" w:rsidRDefault="00CC75C2" w:rsidP="00B95D8C">
                    <w:pPr>
                      <w:pStyle w:val="Heading1"/>
                      <w:spacing w:after="0"/>
                      <w:jc w:val="left"/>
                    </w:pPr>
                    <w:r>
                      <w:t>Commission on Teacher Credentialing</w:t>
                    </w:r>
                  </w:p>
                  <w:p w:rsidR="00CC75C2" w:rsidRPr="00B95D8C" w:rsidRDefault="00CC75C2" w:rsidP="00B95D8C">
                    <w:pPr>
                      <w:spacing w:after="0"/>
                    </w:pPr>
                    <w:smartTag w:uri="urn:schemas-microsoft-com:office:smarttags" w:element="address">
                      <w:smartTag w:uri="urn:schemas-microsoft-com:office:smarttags" w:element="Street">
                        <w:r>
                          <w:t>1900 Capitol Avenue</w:t>
                        </w:r>
                      </w:smartTag>
                      <w:r>
                        <w:t xml:space="preserve"> </w:t>
                      </w:r>
                      <w:smartTag w:uri="urn:schemas-microsoft-com:office:smarttags" w:element="City">
                        <w:r>
                          <w:t>Sacramento</w:t>
                        </w:r>
                      </w:smartTag>
                      <w:r>
                        <w:t xml:space="preserve">, </w:t>
                      </w:r>
                      <w:smartTag w:uri="urn:schemas-microsoft-com:office:smarttags" w:element="State">
                        <w:r>
                          <w:t>CA</w:t>
                        </w:r>
                      </w:smartTag>
                      <w:r>
                        <w:t xml:space="preserve">  </w:t>
                      </w:r>
                      <w:smartTag w:uri="urn:schemas-microsoft-com:office:smarttags" w:element="PostalCode">
                        <w:r>
                          <w:t>95811</w:t>
                        </w:r>
                      </w:smartTag>
                    </w:smartTag>
                    <w:r>
                      <w:t xml:space="preserve">        (916) 324-8002        Fax (916) 324-8927        www.ctc.ca.gov</w:t>
                    </w:r>
                  </w:p>
                  <w:p w:rsidR="00CC75C2" w:rsidRPr="000735B6" w:rsidRDefault="00CC75C2" w:rsidP="000735B6">
                    <w:pPr>
                      <w:spacing w:before="120"/>
                      <w:rPr>
                        <w:i/>
                        <w:sz w:val="22"/>
                        <w:szCs w:val="22"/>
                      </w:rPr>
                    </w:pPr>
                    <w:r>
                      <w:rPr>
                        <w:i/>
                        <w:sz w:val="22"/>
                        <w:szCs w:val="22"/>
                      </w:rPr>
                      <w:t>Professional Services Division</w:t>
                    </w:r>
                  </w:p>
                  <w:p w:rsidR="00CC75C2" w:rsidRPr="00B95D8C" w:rsidRDefault="00CC75C2" w:rsidP="00B95D8C">
                    <w:r>
                      <w:t xml:space="preserve">    </w:t>
                    </w:r>
                  </w:p>
                  <w:p w:rsidR="00CC75C2" w:rsidRPr="00B95D8C" w:rsidRDefault="00CC75C2" w:rsidP="00B95D8C"/>
                </w:txbxContent>
              </v:textbox>
              <w10:wrap anchorx="page" anchory="page"/>
            </v:shape>
          </w:pict>
        </mc:Fallback>
      </mc:AlternateContent>
    </w:r>
    <w:r w:rsidR="00CC75C2">
      <w:rPr>
        <w:noProof/>
      </w:rPr>
      <w:drawing>
        <wp:anchor distT="0" distB="0" distL="114300" distR="114300" simplePos="0" relativeHeight="251658752" behindDoc="1" locked="0" layoutInCell="1" allowOverlap="1" wp14:anchorId="2FCB909F" wp14:editId="2F77F74F">
          <wp:simplePos x="0" y="0"/>
          <wp:positionH relativeFrom="column">
            <wp:posOffset>-844550</wp:posOffset>
          </wp:positionH>
          <wp:positionV relativeFrom="paragraph">
            <wp:posOffset>-381000</wp:posOffset>
          </wp:positionV>
          <wp:extent cx="1301750" cy="1003300"/>
          <wp:effectExtent l="19050" t="0" r="0" b="0"/>
          <wp:wrapTight wrapText="bothSides">
            <wp:wrapPolygon edited="0">
              <wp:start x="-316" y="0"/>
              <wp:lineTo x="-316" y="21327"/>
              <wp:lineTo x="21495" y="21327"/>
              <wp:lineTo x="21495" y="0"/>
              <wp:lineTo x="-316"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srcRect/>
                  <a:stretch>
                    <a:fillRect/>
                  </a:stretch>
                </pic:blipFill>
                <pic:spPr bwMode="auto">
                  <a:xfrm>
                    <a:off x="0" y="0"/>
                    <a:ext cx="1301750" cy="1003300"/>
                  </a:xfrm>
                  <a:prstGeom prst="rect">
                    <a:avLst/>
                  </a:prstGeom>
                  <a:noFill/>
                  <a:ln w="9525">
                    <a:noFill/>
                    <a:miter lim="800000"/>
                    <a:headEnd/>
                    <a:tailEnd/>
                  </a:ln>
                </pic:spPr>
              </pic:pic>
            </a:graphicData>
          </a:graphic>
        </wp:anchor>
      </w:drawing>
    </w:r>
    <w:r>
      <w:rPr>
        <w:noProof/>
      </w:rPr>
      <mc:AlternateContent>
        <mc:Choice Requires="wps">
          <w:drawing>
            <wp:anchor distT="36576" distB="36576" distL="36576" distR="36576" simplePos="0" relativeHeight="251657728" behindDoc="0" locked="0" layoutInCell="1" allowOverlap="1" wp14:anchorId="2857597B" wp14:editId="3A109DF9">
              <wp:simplePos x="0" y="0"/>
              <wp:positionH relativeFrom="column">
                <wp:posOffset>297180</wp:posOffset>
              </wp:positionH>
              <wp:positionV relativeFrom="paragraph">
                <wp:posOffset>556260</wp:posOffset>
              </wp:positionV>
              <wp:extent cx="5760720" cy="18415"/>
              <wp:effectExtent l="1905" t="3810" r="0" b="0"/>
              <wp:wrapSquare wrapText="bothSides"/>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760720" cy="18415"/>
                      </a:xfrm>
                      <a:prstGeom prst="rect">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FF0B39A" id="Rectangle 4" o:spid="_x0000_s1026" style="position:absolute;margin-left:23.4pt;margin-top:43.8pt;width:453.6pt;height:1.4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" fillcolor="black" stroked="f" strokeweight="0" insetpen="t">
              <v:shadow color="#ccc"/>
              <o:lock v:ext="edit" shapetype="t"/>
              <v:textbox inset="2.88pt,2.88pt,2.88pt,2.88pt"/>
              <w10:wrap type="squar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1D0" w:rsidRDefault="007429B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6B2" w:rsidRDefault="007429BB">
    <w:pPr>
      <w:pStyle w:val="Header"/>
      <w:jc w:val="cent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1D0" w:rsidRDefault="007429B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B49B5"/>
    <w:multiLevelType w:val="hybridMultilevel"/>
    <w:tmpl w:val="A7B8C448"/>
    <w:lvl w:ilvl="0" w:tplc="ADF8994C">
      <w:start w:val="2008"/>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o:colormru v:ext="edit" colors="#fc0,#f90,#66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D34"/>
    <w:rsid w:val="00053D6A"/>
    <w:rsid w:val="000735B6"/>
    <w:rsid w:val="0007762F"/>
    <w:rsid w:val="000902D6"/>
    <w:rsid w:val="000B2C1A"/>
    <w:rsid w:val="000D05AB"/>
    <w:rsid w:val="000D0E8F"/>
    <w:rsid w:val="000D71F8"/>
    <w:rsid w:val="000E7A4D"/>
    <w:rsid w:val="0014493F"/>
    <w:rsid w:val="00146C5E"/>
    <w:rsid w:val="001525EB"/>
    <w:rsid w:val="00166CE2"/>
    <w:rsid w:val="001B730A"/>
    <w:rsid w:val="001C0735"/>
    <w:rsid w:val="001D291F"/>
    <w:rsid w:val="002050EC"/>
    <w:rsid w:val="00215709"/>
    <w:rsid w:val="00273A53"/>
    <w:rsid w:val="002776C3"/>
    <w:rsid w:val="00277E14"/>
    <w:rsid w:val="00283394"/>
    <w:rsid w:val="00296722"/>
    <w:rsid w:val="002B0EA7"/>
    <w:rsid w:val="002C77D1"/>
    <w:rsid w:val="002F4C77"/>
    <w:rsid w:val="003124EB"/>
    <w:rsid w:val="00316A5E"/>
    <w:rsid w:val="0033087F"/>
    <w:rsid w:val="00331158"/>
    <w:rsid w:val="003314AF"/>
    <w:rsid w:val="00334FE5"/>
    <w:rsid w:val="00342978"/>
    <w:rsid w:val="00383D4F"/>
    <w:rsid w:val="00390F40"/>
    <w:rsid w:val="00394AB5"/>
    <w:rsid w:val="00395D7C"/>
    <w:rsid w:val="003C1B38"/>
    <w:rsid w:val="003D17F6"/>
    <w:rsid w:val="003D2591"/>
    <w:rsid w:val="003D4CC6"/>
    <w:rsid w:val="003E6F76"/>
    <w:rsid w:val="0040547C"/>
    <w:rsid w:val="004275BB"/>
    <w:rsid w:val="00454CDF"/>
    <w:rsid w:val="004A397E"/>
    <w:rsid w:val="00506068"/>
    <w:rsid w:val="005063B3"/>
    <w:rsid w:val="005214C4"/>
    <w:rsid w:val="00582942"/>
    <w:rsid w:val="00582B9F"/>
    <w:rsid w:val="005B032A"/>
    <w:rsid w:val="005C6BDC"/>
    <w:rsid w:val="005E6A73"/>
    <w:rsid w:val="005F3DB5"/>
    <w:rsid w:val="00606350"/>
    <w:rsid w:val="00610916"/>
    <w:rsid w:val="006159F8"/>
    <w:rsid w:val="00615B60"/>
    <w:rsid w:val="006229A4"/>
    <w:rsid w:val="00624D2F"/>
    <w:rsid w:val="00635EA3"/>
    <w:rsid w:val="006816F0"/>
    <w:rsid w:val="00682DF4"/>
    <w:rsid w:val="0068482D"/>
    <w:rsid w:val="006B6E53"/>
    <w:rsid w:val="006E30B1"/>
    <w:rsid w:val="006E51EA"/>
    <w:rsid w:val="00700DAE"/>
    <w:rsid w:val="007372A5"/>
    <w:rsid w:val="007429BB"/>
    <w:rsid w:val="00757A0C"/>
    <w:rsid w:val="00762C76"/>
    <w:rsid w:val="007D43B8"/>
    <w:rsid w:val="007F29A5"/>
    <w:rsid w:val="007F44F0"/>
    <w:rsid w:val="008263AD"/>
    <w:rsid w:val="0082699A"/>
    <w:rsid w:val="008340DD"/>
    <w:rsid w:val="008433F0"/>
    <w:rsid w:val="00862D55"/>
    <w:rsid w:val="0088162F"/>
    <w:rsid w:val="00890774"/>
    <w:rsid w:val="008D0EE0"/>
    <w:rsid w:val="008E1881"/>
    <w:rsid w:val="008E55E9"/>
    <w:rsid w:val="009174AD"/>
    <w:rsid w:val="00921F30"/>
    <w:rsid w:val="00925423"/>
    <w:rsid w:val="0093331D"/>
    <w:rsid w:val="00937F5D"/>
    <w:rsid w:val="00956EDB"/>
    <w:rsid w:val="009B3635"/>
    <w:rsid w:val="009E62FA"/>
    <w:rsid w:val="00A06FF0"/>
    <w:rsid w:val="00A213DE"/>
    <w:rsid w:val="00A41E58"/>
    <w:rsid w:val="00A43883"/>
    <w:rsid w:val="00A62559"/>
    <w:rsid w:val="00A80C13"/>
    <w:rsid w:val="00A964A3"/>
    <w:rsid w:val="00AA6286"/>
    <w:rsid w:val="00AC59F5"/>
    <w:rsid w:val="00B03D34"/>
    <w:rsid w:val="00B27D76"/>
    <w:rsid w:val="00B33034"/>
    <w:rsid w:val="00B41445"/>
    <w:rsid w:val="00B53D30"/>
    <w:rsid w:val="00B54810"/>
    <w:rsid w:val="00B644AB"/>
    <w:rsid w:val="00B66596"/>
    <w:rsid w:val="00B95D8C"/>
    <w:rsid w:val="00BC7914"/>
    <w:rsid w:val="00BF7382"/>
    <w:rsid w:val="00C075F7"/>
    <w:rsid w:val="00C154A9"/>
    <w:rsid w:val="00C53491"/>
    <w:rsid w:val="00C71B10"/>
    <w:rsid w:val="00C9693D"/>
    <w:rsid w:val="00CB0479"/>
    <w:rsid w:val="00CB7125"/>
    <w:rsid w:val="00CC75C2"/>
    <w:rsid w:val="00CE36DC"/>
    <w:rsid w:val="00D171FA"/>
    <w:rsid w:val="00D32A8E"/>
    <w:rsid w:val="00D5424A"/>
    <w:rsid w:val="00D82069"/>
    <w:rsid w:val="00D86337"/>
    <w:rsid w:val="00D87743"/>
    <w:rsid w:val="00DA17D4"/>
    <w:rsid w:val="00E56C56"/>
    <w:rsid w:val="00E851F1"/>
    <w:rsid w:val="00E9458D"/>
    <w:rsid w:val="00EC33E6"/>
    <w:rsid w:val="00EE6878"/>
    <w:rsid w:val="00EF06CB"/>
    <w:rsid w:val="00F027F2"/>
    <w:rsid w:val="00F117AA"/>
    <w:rsid w:val="00F17E1B"/>
    <w:rsid w:val="00F67C00"/>
    <w:rsid w:val="00F7311D"/>
    <w:rsid w:val="00F76FA5"/>
    <w:rsid w:val="00F82F61"/>
    <w:rsid w:val="00F94C48"/>
    <w:rsid w:val="00FB12CA"/>
    <w:rsid w:val="00FB2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fc0,#f90,#6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CDF"/>
    <w:pPr>
      <w:spacing w:after="180" w:line="271" w:lineRule="auto"/>
    </w:pPr>
    <w:rPr>
      <w:color w:val="000000"/>
      <w:kern w:val="28"/>
    </w:rPr>
  </w:style>
  <w:style w:type="paragraph" w:styleId="Heading1">
    <w:name w:val="heading 1"/>
    <w:basedOn w:val="Normal"/>
    <w:next w:val="Normal"/>
    <w:qFormat/>
    <w:rsid w:val="006E51EA"/>
    <w:pPr>
      <w:jc w:val="center"/>
      <w:outlineLvl w:val="0"/>
    </w:pPr>
    <w:rPr>
      <w:rFonts w:ascii="Arial" w:hAnsi="Arial" w:cs="Arial"/>
      <w:b/>
      <w:color w:val="auto"/>
      <w:sz w:val="28"/>
      <w:szCs w:val="28"/>
    </w:rPr>
  </w:style>
  <w:style w:type="paragraph" w:styleId="Heading2">
    <w:name w:val="heading 2"/>
    <w:basedOn w:val="Normal"/>
    <w:next w:val="Normal"/>
    <w:qFormat/>
    <w:rsid w:val="00F117A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117AA"/>
    <w:pPr>
      <w:keepNext/>
      <w:spacing w:before="240" w:after="60"/>
      <w:outlineLvl w:val="2"/>
    </w:pPr>
    <w:rPr>
      <w:rFonts w:ascii="Arial" w:hAnsi="Arial" w:cs="Arial"/>
      <w:b/>
      <w:bCs/>
      <w:sz w:val="26"/>
      <w:szCs w:val="26"/>
    </w:rPr>
  </w:style>
  <w:style w:type="paragraph" w:styleId="Heading4">
    <w:name w:val="heading 4"/>
    <w:basedOn w:val="Normal"/>
    <w:next w:val="Normal"/>
    <w:qFormat/>
    <w:rsid w:val="00F117A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3A53"/>
    <w:pPr>
      <w:tabs>
        <w:tab w:val="center" w:pos="4320"/>
        <w:tab w:val="right" w:pos="8640"/>
      </w:tabs>
    </w:pPr>
    <w:rPr>
      <w:color w:val="auto"/>
    </w:rPr>
  </w:style>
  <w:style w:type="paragraph" w:customStyle="1" w:styleId="Address">
    <w:name w:val="Address"/>
    <w:rsid w:val="00273A53"/>
    <w:pPr>
      <w:spacing w:line="271" w:lineRule="auto"/>
      <w:jc w:val="center"/>
    </w:pPr>
    <w:rPr>
      <w:rFonts w:ascii="Arial" w:hAnsi="Arial" w:cs="Arial"/>
      <w:kern w:val="28"/>
      <w:sz w:val="16"/>
      <w:szCs w:val="16"/>
    </w:rPr>
  </w:style>
  <w:style w:type="paragraph" w:styleId="BodyText">
    <w:name w:val="Body Text"/>
    <w:basedOn w:val="Normal"/>
    <w:rsid w:val="00E9458D"/>
    <w:pPr>
      <w:spacing w:after="240" w:line="240" w:lineRule="auto"/>
    </w:pPr>
    <w:rPr>
      <w:color w:val="auto"/>
      <w:kern w:val="0"/>
      <w:sz w:val="24"/>
      <w:szCs w:val="24"/>
    </w:rPr>
  </w:style>
  <w:style w:type="paragraph" w:styleId="Footer">
    <w:name w:val="footer"/>
    <w:basedOn w:val="Normal"/>
    <w:link w:val="FooterChar"/>
    <w:rsid w:val="00273A53"/>
    <w:pPr>
      <w:tabs>
        <w:tab w:val="center" w:pos="4320"/>
        <w:tab w:val="right" w:pos="8640"/>
      </w:tabs>
    </w:pPr>
    <w:rPr>
      <w:color w:val="auto"/>
    </w:rPr>
  </w:style>
  <w:style w:type="paragraph" w:customStyle="1" w:styleId="ccEnclosure">
    <w:name w:val="cc:/Enclosure"/>
    <w:basedOn w:val="Normal"/>
    <w:rsid w:val="00E9458D"/>
    <w:pPr>
      <w:tabs>
        <w:tab w:val="left" w:pos="1440"/>
      </w:tabs>
      <w:spacing w:after="240" w:line="240" w:lineRule="auto"/>
      <w:ind w:left="1440" w:hanging="1440"/>
    </w:pPr>
    <w:rPr>
      <w:color w:val="auto"/>
      <w:kern w:val="0"/>
      <w:sz w:val="24"/>
      <w:szCs w:val="24"/>
    </w:rPr>
  </w:style>
  <w:style w:type="paragraph" w:styleId="Closing">
    <w:name w:val="Closing"/>
    <w:basedOn w:val="Normal"/>
    <w:rsid w:val="00E9458D"/>
    <w:pPr>
      <w:spacing w:after="1200" w:line="240" w:lineRule="auto"/>
    </w:pPr>
    <w:rPr>
      <w:color w:val="auto"/>
      <w:kern w:val="0"/>
      <w:sz w:val="24"/>
      <w:szCs w:val="24"/>
    </w:rPr>
  </w:style>
  <w:style w:type="paragraph" w:styleId="Date">
    <w:name w:val="Date"/>
    <w:basedOn w:val="Normal"/>
    <w:next w:val="Normal"/>
    <w:rsid w:val="00E9458D"/>
    <w:pPr>
      <w:spacing w:before="480" w:after="480" w:line="240" w:lineRule="auto"/>
    </w:pPr>
    <w:rPr>
      <w:color w:val="auto"/>
      <w:kern w:val="0"/>
      <w:sz w:val="24"/>
      <w:szCs w:val="24"/>
    </w:rPr>
  </w:style>
  <w:style w:type="paragraph" w:customStyle="1" w:styleId="RecipientAddress">
    <w:name w:val="Recipient Address"/>
    <w:basedOn w:val="Normal"/>
    <w:rsid w:val="00E9458D"/>
    <w:pPr>
      <w:spacing w:after="0" w:line="240" w:lineRule="auto"/>
    </w:pPr>
    <w:rPr>
      <w:color w:val="auto"/>
      <w:kern w:val="0"/>
      <w:sz w:val="24"/>
      <w:szCs w:val="24"/>
    </w:rPr>
  </w:style>
  <w:style w:type="paragraph" w:styleId="Salutation">
    <w:name w:val="Salutation"/>
    <w:basedOn w:val="Normal"/>
    <w:next w:val="Normal"/>
    <w:rsid w:val="00E9458D"/>
    <w:pPr>
      <w:spacing w:before="480" w:after="240" w:line="240" w:lineRule="auto"/>
    </w:pPr>
    <w:rPr>
      <w:color w:val="auto"/>
      <w:kern w:val="0"/>
      <w:sz w:val="24"/>
      <w:szCs w:val="24"/>
    </w:rPr>
  </w:style>
  <w:style w:type="paragraph" w:styleId="Signature">
    <w:name w:val="Signature"/>
    <w:basedOn w:val="Normal"/>
    <w:rsid w:val="00E9458D"/>
    <w:pPr>
      <w:spacing w:after="0" w:line="240" w:lineRule="auto"/>
    </w:pPr>
    <w:rPr>
      <w:color w:val="auto"/>
      <w:kern w:val="0"/>
      <w:sz w:val="24"/>
      <w:szCs w:val="24"/>
    </w:rPr>
  </w:style>
  <w:style w:type="paragraph" w:customStyle="1" w:styleId="JobTitle">
    <w:name w:val="Job Title"/>
    <w:next w:val="ccEnclosure"/>
    <w:rsid w:val="00E9458D"/>
    <w:pPr>
      <w:spacing w:before="120" w:after="960"/>
    </w:pPr>
    <w:rPr>
      <w:sz w:val="24"/>
      <w:szCs w:val="24"/>
    </w:rPr>
  </w:style>
  <w:style w:type="character" w:styleId="PageNumber">
    <w:name w:val="page number"/>
    <w:basedOn w:val="DefaultParagraphFont"/>
    <w:rsid w:val="003D2591"/>
  </w:style>
  <w:style w:type="character" w:styleId="Hyperlink">
    <w:name w:val="Hyperlink"/>
    <w:basedOn w:val="DefaultParagraphFont"/>
    <w:rsid w:val="000902D6"/>
    <w:rPr>
      <w:color w:val="0000FF"/>
      <w:u w:val="single"/>
    </w:rPr>
  </w:style>
  <w:style w:type="table" w:styleId="TableGrid">
    <w:name w:val="Table Grid"/>
    <w:basedOn w:val="TableNormal"/>
    <w:rsid w:val="00635E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C6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C6BDC"/>
    <w:rPr>
      <w:rFonts w:ascii="Tahoma" w:hAnsi="Tahoma" w:cs="Tahoma"/>
      <w:color w:val="000000"/>
      <w:kern w:val="28"/>
      <w:sz w:val="16"/>
      <w:szCs w:val="16"/>
    </w:rPr>
  </w:style>
  <w:style w:type="paragraph" w:customStyle="1" w:styleId="Default">
    <w:name w:val="Default"/>
    <w:rsid w:val="0068482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213DE"/>
    <w:pPr>
      <w:spacing w:after="0" w:line="240" w:lineRule="auto"/>
      <w:ind w:left="720"/>
      <w:contextualSpacing/>
    </w:pPr>
    <w:rPr>
      <w:color w:val="auto"/>
      <w:kern w:val="0"/>
      <w:sz w:val="24"/>
      <w:szCs w:val="24"/>
    </w:rPr>
  </w:style>
  <w:style w:type="character" w:customStyle="1" w:styleId="FooterChar">
    <w:name w:val="Footer Char"/>
    <w:basedOn w:val="DefaultParagraphFont"/>
    <w:link w:val="Footer"/>
    <w:rsid w:val="00A213DE"/>
    <w:rPr>
      <w:kern w:val="28"/>
    </w:rPr>
  </w:style>
  <w:style w:type="character" w:customStyle="1" w:styleId="HeaderChar">
    <w:name w:val="Header Char"/>
    <w:basedOn w:val="DefaultParagraphFont"/>
    <w:link w:val="Header"/>
    <w:rsid w:val="008E1881"/>
    <w:rPr>
      <w:kern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CDF"/>
    <w:pPr>
      <w:spacing w:after="180" w:line="271" w:lineRule="auto"/>
    </w:pPr>
    <w:rPr>
      <w:color w:val="000000"/>
      <w:kern w:val="28"/>
    </w:rPr>
  </w:style>
  <w:style w:type="paragraph" w:styleId="Heading1">
    <w:name w:val="heading 1"/>
    <w:basedOn w:val="Normal"/>
    <w:next w:val="Normal"/>
    <w:qFormat/>
    <w:rsid w:val="006E51EA"/>
    <w:pPr>
      <w:jc w:val="center"/>
      <w:outlineLvl w:val="0"/>
    </w:pPr>
    <w:rPr>
      <w:rFonts w:ascii="Arial" w:hAnsi="Arial" w:cs="Arial"/>
      <w:b/>
      <w:color w:val="auto"/>
      <w:sz w:val="28"/>
      <w:szCs w:val="28"/>
    </w:rPr>
  </w:style>
  <w:style w:type="paragraph" w:styleId="Heading2">
    <w:name w:val="heading 2"/>
    <w:basedOn w:val="Normal"/>
    <w:next w:val="Normal"/>
    <w:qFormat/>
    <w:rsid w:val="00F117A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117AA"/>
    <w:pPr>
      <w:keepNext/>
      <w:spacing w:before="240" w:after="60"/>
      <w:outlineLvl w:val="2"/>
    </w:pPr>
    <w:rPr>
      <w:rFonts w:ascii="Arial" w:hAnsi="Arial" w:cs="Arial"/>
      <w:b/>
      <w:bCs/>
      <w:sz w:val="26"/>
      <w:szCs w:val="26"/>
    </w:rPr>
  </w:style>
  <w:style w:type="paragraph" w:styleId="Heading4">
    <w:name w:val="heading 4"/>
    <w:basedOn w:val="Normal"/>
    <w:next w:val="Normal"/>
    <w:qFormat/>
    <w:rsid w:val="00F117A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3A53"/>
    <w:pPr>
      <w:tabs>
        <w:tab w:val="center" w:pos="4320"/>
        <w:tab w:val="right" w:pos="8640"/>
      </w:tabs>
    </w:pPr>
    <w:rPr>
      <w:color w:val="auto"/>
    </w:rPr>
  </w:style>
  <w:style w:type="paragraph" w:customStyle="1" w:styleId="Address">
    <w:name w:val="Address"/>
    <w:rsid w:val="00273A53"/>
    <w:pPr>
      <w:spacing w:line="271" w:lineRule="auto"/>
      <w:jc w:val="center"/>
    </w:pPr>
    <w:rPr>
      <w:rFonts w:ascii="Arial" w:hAnsi="Arial" w:cs="Arial"/>
      <w:kern w:val="28"/>
      <w:sz w:val="16"/>
      <w:szCs w:val="16"/>
    </w:rPr>
  </w:style>
  <w:style w:type="paragraph" w:styleId="BodyText">
    <w:name w:val="Body Text"/>
    <w:basedOn w:val="Normal"/>
    <w:rsid w:val="00E9458D"/>
    <w:pPr>
      <w:spacing w:after="240" w:line="240" w:lineRule="auto"/>
    </w:pPr>
    <w:rPr>
      <w:color w:val="auto"/>
      <w:kern w:val="0"/>
      <w:sz w:val="24"/>
      <w:szCs w:val="24"/>
    </w:rPr>
  </w:style>
  <w:style w:type="paragraph" w:styleId="Footer">
    <w:name w:val="footer"/>
    <w:basedOn w:val="Normal"/>
    <w:link w:val="FooterChar"/>
    <w:rsid w:val="00273A53"/>
    <w:pPr>
      <w:tabs>
        <w:tab w:val="center" w:pos="4320"/>
        <w:tab w:val="right" w:pos="8640"/>
      </w:tabs>
    </w:pPr>
    <w:rPr>
      <w:color w:val="auto"/>
    </w:rPr>
  </w:style>
  <w:style w:type="paragraph" w:customStyle="1" w:styleId="ccEnclosure">
    <w:name w:val="cc:/Enclosure"/>
    <w:basedOn w:val="Normal"/>
    <w:rsid w:val="00E9458D"/>
    <w:pPr>
      <w:tabs>
        <w:tab w:val="left" w:pos="1440"/>
      </w:tabs>
      <w:spacing w:after="240" w:line="240" w:lineRule="auto"/>
      <w:ind w:left="1440" w:hanging="1440"/>
    </w:pPr>
    <w:rPr>
      <w:color w:val="auto"/>
      <w:kern w:val="0"/>
      <w:sz w:val="24"/>
      <w:szCs w:val="24"/>
    </w:rPr>
  </w:style>
  <w:style w:type="paragraph" w:styleId="Closing">
    <w:name w:val="Closing"/>
    <w:basedOn w:val="Normal"/>
    <w:rsid w:val="00E9458D"/>
    <w:pPr>
      <w:spacing w:after="1200" w:line="240" w:lineRule="auto"/>
    </w:pPr>
    <w:rPr>
      <w:color w:val="auto"/>
      <w:kern w:val="0"/>
      <w:sz w:val="24"/>
      <w:szCs w:val="24"/>
    </w:rPr>
  </w:style>
  <w:style w:type="paragraph" w:styleId="Date">
    <w:name w:val="Date"/>
    <w:basedOn w:val="Normal"/>
    <w:next w:val="Normal"/>
    <w:rsid w:val="00E9458D"/>
    <w:pPr>
      <w:spacing w:before="480" w:after="480" w:line="240" w:lineRule="auto"/>
    </w:pPr>
    <w:rPr>
      <w:color w:val="auto"/>
      <w:kern w:val="0"/>
      <w:sz w:val="24"/>
      <w:szCs w:val="24"/>
    </w:rPr>
  </w:style>
  <w:style w:type="paragraph" w:customStyle="1" w:styleId="RecipientAddress">
    <w:name w:val="Recipient Address"/>
    <w:basedOn w:val="Normal"/>
    <w:rsid w:val="00E9458D"/>
    <w:pPr>
      <w:spacing w:after="0" w:line="240" w:lineRule="auto"/>
    </w:pPr>
    <w:rPr>
      <w:color w:val="auto"/>
      <w:kern w:val="0"/>
      <w:sz w:val="24"/>
      <w:szCs w:val="24"/>
    </w:rPr>
  </w:style>
  <w:style w:type="paragraph" w:styleId="Salutation">
    <w:name w:val="Salutation"/>
    <w:basedOn w:val="Normal"/>
    <w:next w:val="Normal"/>
    <w:rsid w:val="00E9458D"/>
    <w:pPr>
      <w:spacing w:before="480" w:after="240" w:line="240" w:lineRule="auto"/>
    </w:pPr>
    <w:rPr>
      <w:color w:val="auto"/>
      <w:kern w:val="0"/>
      <w:sz w:val="24"/>
      <w:szCs w:val="24"/>
    </w:rPr>
  </w:style>
  <w:style w:type="paragraph" w:styleId="Signature">
    <w:name w:val="Signature"/>
    <w:basedOn w:val="Normal"/>
    <w:rsid w:val="00E9458D"/>
    <w:pPr>
      <w:spacing w:after="0" w:line="240" w:lineRule="auto"/>
    </w:pPr>
    <w:rPr>
      <w:color w:val="auto"/>
      <w:kern w:val="0"/>
      <w:sz w:val="24"/>
      <w:szCs w:val="24"/>
    </w:rPr>
  </w:style>
  <w:style w:type="paragraph" w:customStyle="1" w:styleId="JobTitle">
    <w:name w:val="Job Title"/>
    <w:next w:val="ccEnclosure"/>
    <w:rsid w:val="00E9458D"/>
    <w:pPr>
      <w:spacing w:before="120" w:after="960"/>
    </w:pPr>
    <w:rPr>
      <w:sz w:val="24"/>
      <w:szCs w:val="24"/>
    </w:rPr>
  </w:style>
  <w:style w:type="character" w:styleId="PageNumber">
    <w:name w:val="page number"/>
    <w:basedOn w:val="DefaultParagraphFont"/>
    <w:rsid w:val="003D2591"/>
  </w:style>
  <w:style w:type="character" w:styleId="Hyperlink">
    <w:name w:val="Hyperlink"/>
    <w:basedOn w:val="DefaultParagraphFont"/>
    <w:rsid w:val="000902D6"/>
    <w:rPr>
      <w:color w:val="0000FF"/>
      <w:u w:val="single"/>
    </w:rPr>
  </w:style>
  <w:style w:type="table" w:styleId="TableGrid">
    <w:name w:val="Table Grid"/>
    <w:basedOn w:val="TableNormal"/>
    <w:rsid w:val="00635E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C6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C6BDC"/>
    <w:rPr>
      <w:rFonts w:ascii="Tahoma" w:hAnsi="Tahoma" w:cs="Tahoma"/>
      <w:color w:val="000000"/>
      <w:kern w:val="28"/>
      <w:sz w:val="16"/>
      <w:szCs w:val="16"/>
    </w:rPr>
  </w:style>
  <w:style w:type="paragraph" w:customStyle="1" w:styleId="Default">
    <w:name w:val="Default"/>
    <w:rsid w:val="0068482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213DE"/>
    <w:pPr>
      <w:spacing w:after="0" w:line="240" w:lineRule="auto"/>
      <w:ind w:left="720"/>
      <w:contextualSpacing/>
    </w:pPr>
    <w:rPr>
      <w:color w:val="auto"/>
      <w:kern w:val="0"/>
      <w:sz w:val="24"/>
      <w:szCs w:val="24"/>
    </w:rPr>
  </w:style>
  <w:style w:type="character" w:customStyle="1" w:styleId="FooterChar">
    <w:name w:val="Footer Char"/>
    <w:basedOn w:val="DefaultParagraphFont"/>
    <w:link w:val="Footer"/>
    <w:rsid w:val="00A213DE"/>
    <w:rPr>
      <w:kern w:val="28"/>
    </w:rPr>
  </w:style>
  <w:style w:type="character" w:customStyle="1" w:styleId="HeaderChar">
    <w:name w:val="Header Char"/>
    <w:basedOn w:val="DefaultParagraphFont"/>
    <w:link w:val="Header"/>
    <w:rsid w:val="008E1881"/>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606146">
      <w:bodyDiv w:val="1"/>
      <w:marLeft w:val="0"/>
      <w:marRight w:val="0"/>
      <w:marTop w:val="0"/>
      <w:marBottom w:val="0"/>
      <w:divBdr>
        <w:top w:val="none" w:sz="0" w:space="0" w:color="auto"/>
        <w:left w:val="none" w:sz="0" w:space="0" w:color="auto"/>
        <w:bottom w:val="none" w:sz="0" w:space="0" w:color="auto"/>
        <w:right w:val="none" w:sz="0" w:space="0" w:color="auto"/>
      </w:divBdr>
    </w:div>
    <w:div w:id="72884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hickey@ctc.ca.gov"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oter" Target="footer2.xml"/><Relationship Id="rId14" Type="http://schemas.openxmlformats.org/officeDocument/2006/relationships/header" Target="head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oter" Target="footer4.xml"/><Relationship Id="rId18" Type="http://schemas.openxmlformats.org/officeDocument/2006/relationships/header" Target="header4.xml"/><Relationship Id="rId19" Type="http://schemas.openxmlformats.org/officeDocument/2006/relationships/footer" Target="footer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79F36-D081-F04C-B375-A2748E586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1047</Words>
  <Characters>5971</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March 16, 2009</vt:lpstr>
    </vt:vector>
  </TitlesOfParts>
  <Company>Microsoft Corporation</Company>
  <LinksUpToDate>false</LinksUpToDate>
  <CharactersWithSpaces>7004</CharactersWithSpaces>
  <SharedDoc>false</SharedDoc>
  <HLinks>
    <vt:vector size="12" baseType="variant">
      <vt:variant>
        <vt:i4>5636150</vt:i4>
      </vt:variant>
      <vt:variant>
        <vt:i4>3</vt:i4>
      </vt:variant>
      <vt:variant>
        <vt:i4>0</vt:i4>
      </vt:variant>
      <vt:variant>
        <vt:i4>5</vt:i4>
      </vt:variant>
      <vt:variant>
        <vt:lpwstr>mailto:gmohler@ctc.ca.gov</vt:lpwstr>
      </vt:variant>
      <vt:variant>
        <vt:lpwstr/>
      </vt:variant>
      <vt:variant>
        <vt:i4>5767224</vt:i4>
      </vt:variant>
      <vt:variant>
        <vt:i4>0</vt:i4>
      </vt:variant>
      <vt:variant>
        <vt:i4>0</vt:i4>
      </vt:variant>
      <vt:variant>
        <vt:i4>5</vt:i4>
      </vt:variant>
      <vt:variant>
        <vt:lpwstr>mailto:chickey@ctc.ca.gov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16, 2009</dc:title>
  <dc:creator>bcunningham</dc:creator>
  <cp:lastModifiedBy>Derisa Grant</cp:lastModifiedBy>
  <cp:revision>2</cp:revision>
  <cp:lastPrinted>2011-09-29T20:51:00Z</cp:lastPrinted>
  <dcterms:created xsi:type="dcterms:W3CDTF">2016-02-11T18:33:00Z</dcterms:created>
  <dcterms:modified xsi:type="dcterms:W3CDTF">2016-02-11T18:33:00Z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TC060874681033</vt:lpwstr>
  </property>
</Properties>
</file>